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12" w:rsidRPr="00A164DC" w:rsidRDefault="00444C12" w:rsidP="00444C12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>
        <w:rPr>
          <w:rFonts w:ascii="Tahoma" w:hAnsi="Tahoma" w:cs="Tahoma"/>
          <w:b/>
          <w:color w:val="FF0000"/>
          <w:sz w:val="22"/>
          <w:szCs w:val="22"/>
        </w:rPr>
        <w:t>S.A.S.</w:t>
      </w:r>
    </w:p>
    <w:p w:rsidR="00444C12" w:rsidRPr="00CE4D23" w:rsidRDefault="00444C12" w:rsidP="00444C12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CE4D23">
        <w:rPr>
          <w:rFonts w:ascii="Tahoma" w:hAnsi="Tahoma" w:cs="Tahoma"/>
          <w:b/>
          <w:iCs/>
          <w:sz w:val="22"/>
          <w:szCs w:val="22"/>
        </w:rPr>
        <w:t xml:space="preserve">Reunión de Asamblea General de </w:t>
      </w:r>
      <w:r>
        <w:rPr>
          <w:rFonts w:ascii="Tahoma" w:hAnsi="Tahoma" w:cs="Tahoma"/>
          <w:b/>
          <w:iCs/>
          <w:sz w:val="22"/>
          <w:szCs w:val="22"/>
        </w:rPr>
        <w:t>accionistas</w:t>
      </w:r>
      <w:r w:rsidRPr="00CE4D23">
        <w:rPr>
          <w:rFonts w:ascii="Tahoma" w:hAnsi="Tahoma" w:cs="Tahoma"/>
          <w:b/>
          <w:iCs/>
          <w:sz w:val="22"/>
          <w:szCs w:val="22"/>
        </w:rPr>
        <w:t xml:space="preserve"> </w:t>
      </w:r>
    </w:p>
    <w:p w:rsidR="00444C12" w:rsidRDefault="00444C12" w:rsidP="00444C12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444C12" w:rsidRDefault="00444C12" w:rsidP="00444C12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444C12" w:rsidRDefault="00444C12" w:rsidP="00444C12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444C12" w:rsidRPr="00A164DC" w:rsidRDefault="00444C12" w:rsidP="00444C12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de accionistas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>
        <w:rPr>
          <w:rFonts w:ascii="Tahoma" w:hAnsi="Tahoma" w:cs="Tahoma"/>
          <w:sz w:val="22"/>
          <w:szCs w:val="22"/>
        </w:rPr>
        <w:t>.</w:t>
      </w:r>
    </w:p>
    <w:p w:rsidR="00444C12" w:rsidRPr="00DD7CC2" w:rsidRDefault="00444C12" w:rsidP="00444C12">
      <w:pPr>
        <w:rPr>
          <w:rFonts w:ascii="Tahoma" w:hAnsi="Tahoma" w:cs="Tahoma"/>
          <w:sz w:val="22"/>
          <w:szCs w:val="22"/>
        </w:rPr>
      </w:pPr>
    </w:p>
    <w:p w:rsidR="00444C12" w:rsidRPr="00DD7CC2" w:rsidRDefault="00444C12" w:rsidP="00444C12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Orden del Día:</w:t>
      </w:r>
    </w:p>
    <w:p w:rsidR="00444C12" w:rsidRPr="00DD7CC2" w:rsidRDefault="00444C12" w:rsidP="00444C12">
      <w:pPr>
        <w:rPr>
          <w:rFonts w:ascii="Tahoma" w:hAnsi="Tahoma" w:cs="Tahoma"/>
          <w:sz w:val="22"/>
          <w:szCs w:val="22"/>
        </w:rPr>
      </w:pPr>
    </w:p>
    <w:p w:rsidR="00444C12" w:rsidRPr="00471E95" w:rsidRDefault="00444C12" w:rsidP="00444C12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Verificación del quórum.</w:t>
      </w:r>
    </w:p>
    <w:p w:rsidR="00444C12" w:rsidRPr="00471E95" w:rsidRDefault="00444C12" w:rsidP="00444C12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Designación de presidente y secretario de la reunión.</w:t>
      </w:r>
    </w:p>
    <w:p w:rsidR="00444C12" w:rsidRPr="00471E95" w:rsidRDefault="00444C12" w:rsidP="00444C12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Aprobación de la cuenta final de liquidación.</w:t>
      </w:r>
    </w:p>
    <w:p w:rsidR="00444C12" w:rsidRDefault="00444C12" w:rsidP="00444C12">
      <w:pPr>
        <w:pStyle w:val="Prrafodelista"/>
        <w:numPr>
          <w:ilvl w:val="0"/>
          <w:numId w:val="3"/>
        </w:numPr>
        <w:tabs>
          <w:tab w:val="left" w:leader="underscore" w:pos="9979"/>
        </w:tabs>
        <w:ind w:left="426" w:hanging="42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Lectura y aprobación del texto integral del acta.</w:t>
      </w:r>
    </w:p>
    <w:p w:rsidR="00444C12" w:rsidRDefault="00444C12" w:rsidP="00444C12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</w:p>
    <w:p w:rsidR="00444C12" w:rsidRDefault="00444C12" w:rsidP="00444C12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A567E5">
        <w:rPr>
          <w:rFonts w:ascii="Tahoma" w:hAnsi="Tahoma" w:cs="Tahoma"/>
          <w:i/>
          <w:color w:val="FF0000"/>
          <w:sz w:val="22"/>
          <w:szCs w:val="22"/>
          <w:lang w:val="es-ES"/>
        </w:rPr>
        <w:t>Nota: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Este es el orden del día propuesto, sin embargo puede variar por decisión de la asamblea general.</w:t>
      </w:r>
    </w:p>
    <w:p w:rsidR="00444C12" w:rsidRDefault="00444C12" w:rsidP="00444C12">
      <w:pPr>
        <w:rPr>
          <w:rFonts w:ascii="Tahoma" w:hAnsi="Tahoma" w:cs="Tahoma"/>
          <w:b/>
          <w:sz w:val="22"/>
          <w:szCs w:val="22"/>
          <w:lang w:val="es-ES"/>
        </w:rPr>
      </w:pPr>
    </w:p>
    <w:p w:rsidR="00444C12" w:rsidRDefault="00444C12" w:rsidP="00444C12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444C12" w:rsidRPr="00EE39E6" w:rsidRDefault="00444C12" w:rsidP="00444C12">
      <w:pPr>
        <w:rPr>
          <w:rFonts w:ascii="Tahoma" w:hAnsi="Tahoma" w:cs="Tahoma"/>
          <w:b/>
          <w:sz w:val="22"/>
          <w:szCs w:val="22"/>
          <w:lang w:val="es-ES"/>
        </w:rPr>
      </w:pPr>
    </w:p>
    <w:p w:rsidR="00444C12" w:rsidRPr="00DD7CC2" w:rsidRDefault="00444C12" w:rsidP="00444C12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444C12" w:rsidRPr="00DD7CC2" w:rsidRDefault="00444C12" w:rsidP="00444C12">
      <w:pPr>
        <w:ind w:left="360"/>
        <w:rPr>
          <w:rFonts w:ascii="Tahoma" w:hAnsi="Tahoma" w:cs="Tahoma"/>
          <w:b/>
          <w:sz w:val="22"/>
          <w:szCs w:val="22"/>
        </w:rPr>
      </w:pPr>
    </w:p>
    <w:p w:rsidR="00444C12" w:rsidRPr="00DD7CC2" w:rsidRDefault="00444C12" w:rsidP="00444C12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444C12" w:rsidTr="005F6649">
        <w:tc>
          <w:tcPr>
            <w:tcW w:w="4489" w:type="dxa"/>
          </w:tcPr>
          <w:p w:rsidR="00444C12" w:rsidRPr="003B50F7" w:rsidRDefault="00444C12" w:rsidP="005F664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Accionista</w:t>
            </w:r>
          </w:p>
        </w:tc>
        <w:tc>
          <w:tcPr>
            <w:tcW w:w="4489" w:type="dxa"/>
          </w:tcPr>
          <w:p w:rsidR="00444C12" w:rsidRPr="003B50F7" w:rsidRDefault="00444C12" w:rsidP="005F664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Acciones suscritas</w:t>
            </w:r>
          </w:p>
        </w:tc>
      </w:tr>
      <w:tr w:rsidR="00444C12" w:rsidTr="005F6649">
        <w:tc>
          <w:tcPr>
            <w:tcW w:w="4489" w:type="dxa"/>
          </w:tcPr>
          <w:p w:rsidR="00444C12" w:rsidRDefault="00444C12" w:rsidP="005F664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444C12" w:rsidRDefault="00444C12" w:rsidP="005F6649">
            <w:pPr>
              <w:jc w:val="center"/>
              <w:rPr>
                <w:rFonts w:ascii="Tahoma" w:hAnsi="Tahoma" w:cs="Tahoma"/>
              </w:rPr>
            </w:pPr>
          </w:p>
        </w:tc>
      </w:tr>
      <w:tr w:rsidR="00444C12" w:rsidTr="005F6649">
        <w:tc>
          <w:tcPr>
            <w:tcW w:w="4489" w:type="dxa"/>
          </w:tcPr>
          <w:p w:rsidR="00444C12" w:rsidRDefault="00444C12" w:rsidP="005F664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444C12" w:rsidRDefault="00444C12" w:rsidP="005F6649">
            <w:pPr>
              <w:jc w:val="center"/>
              <w:rPr>
                <w:rFonts w:ascii="Tahoma" w:hAnsi="Tahoma" w:cs="Tahoma"/>
              </w:rPr>
            </w:pPr>
          </w:p>
        </w:tc>
      </w:tr>
      <w:tr w:rsidR="00444C12" w:rsidTr="005F6649">
        <w:tc>
          <w:tcPr>
            <w:tcW w:w="4489" w:type="dxa"/>
          </w:tcPr>
          <w:p w:rsidR="00444C12" w:rsidRDefault="00444C12" w:rsidP="005F664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444C12" w:rsidRDefault="00444C12" w:rsidP="005F6649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444C12" w:rsidRDefault="00444C12" w:rsidP="00444C12">
      <w:pPr>
        <w:rPr>
          <w:rFonts w:ascii="Tahoma" w:hAnsi="Tahoma" w:cs="Tahoma"/>
          <w:sz w:val="22"/>
          <w:szCs w:val="22"/>
        </w:rPr>
      </w:pPr>
    </w:p>
    <w:p w:rsidR="00444C12" w:rsidRPr="009E3B07" w:rsidRDefault="00444C12" w:rsidP="00444C12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_____ (Indicar el número de </w:t>
      </w:r>
      <w:r>
        <w:rPr>
          <w:rFonts w:ascii="Tahoma" w:hAnsi="Tahoma" w:cs="Tahoma"/>
          <w:i/>
          <w:color w:val="FF0000"/>
          <w:sz w:val="22"/>
          <w:szCs w:val="22"/>
        </w:rPr>
        <w:t>acciones suscritas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sz w:val="22"/>
          <w:szCs w:val="22"/>
        </w:rPr>
        <w:t xml:space="preserve">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</w:t>
      </w:r>
      <w:r>
        <w:rPr>
          <w:rFonts w:ascii="Tahoma" w:hAnsi="Tahoma" w:cs="Tahoma"/>
          <w:sz w:val="22"/>
          <w:szCs w:val="22"/>
        </w:rPr>
        <w:t>capital suscrito</w:t>
      </w:r>
      <w:r w:rsidRPr="009E3B07">
        <w:rPr>
          <w:rFonts w:ascii="Tahoma" w:hAnsi="Tahoma" w:cs="Tahoma"/>
          <w:sz w:val="22"/>
          <w:szCs w:val="22"/>
        </w:rPr>
        <w:t>.</w:t>
      </w:r>
    </w:p>
    <w:p w:rsidR="00444C12" w:rsidRPr="00DD7CC2" w:rsidRDefault="00444C12" w:rsidP="00444C12">
      <w:pPr>
        <w:rPr>
          <w:rFonts w:ascii="Tahoma" w:hAnsi="Tahoma" w:cs="Tahoma"/>
          <w:sz w:val="22"/>
          <w:szCs w:val="22"/>
        </w:rPr>
      </w:pPr>
    </w:p>
    <w:p w:rsidR="00444C12" w:rsidRPr="00DD7CC2" w:rsidRDefault="00444C12" w:rsidP="00444C12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444C12" w:rsidRPr="00DD7CC2" w:rsidRDefault="00444C12" w:rsidP="00444C12">
      <w:pPr>
        <w:ind w:left="360"/>
        <w:rPr>
          <w:rFonts w:ascii="Tahoma" w:hAnsi="Tahoma" w:cs="Tahoma"/>
          <w:b/>
          <w:sz w:val="22"/>
          <w:szCs w:val="22"/>
        </w:rPr>
      </w:pPr>
    </w:p>
    <w:p w:rsidR="00444C12" w:rsidRPr="008A19A2" w:rsidRDefault="00444C12" w:rsidP="00444C12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444C12" w:rsidRPr="00DD7CC2" w:rsidRDefault="00444C12" w:rsidP="00444C12">
      <w:pPr>
        <w:ind w:left="360"/>
        <w:rPr>
          <w:rFonts w:ascii="Tahoma" w:hAnsi="Tahoma" w:cs="Tahoma"/>
          <w:sz w:val="22"/>
          <w:szCs w:val="22"/>
        </w:rPr>
      </w:pPr>
    </w:p>
    <w:p w:rsidR="00444C12" w:rsidRPr="00471E95" w:rsidRDefault="00444C12" w:rsidP="00444C12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  <w:r w:rsidRPr="00471E95">
        <w:rPr>
          <w:rFonts w:ascii="Tahoma" w:hAnsi="Tahoma" w:cs="Tahoma"/>
          <w:b/>
          <w:sz w:val="22"/>
          <w:szCs w:val="22"/>
          <w:lang w:val="es-ES"/>
        </w:rPr>
        <w:lastRenderedPageBreak/>
        <w:t>3. APROBACIÓN DE LA CUENTA FINAL DE LIQUIDACIÓN.</w:t>
      </w:r>
    </w:p>
    <w:p w:rsidR="00444C12" w:rsidRPr="00471E95" w:rsidRDefault="00444C12" w:rsidP="00444C12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b/>
          <w:sz w:val="22"/>
          <w:szCs w:val="22"/>
          <w:lang w:val="es-ES"/>
        </w:rPr>
      </w:pPr>
    </w:p>
    <w:p w:rsidR="00444C12" w:rsidRPr="00471E95" w:rsidRDefault="00444C12" w:rsidP="00444C12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El liquidador presenta a consideración de la asamblea la cuenta final de liquidación, para lo cual aporta:</w:t>
      </w:r>
    </w:p>
    <w:p w:rsidR="00444C12" w:rsidRPr="00471E95" w:rsidRDefault="00444C12" w:rsidP="00444C12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</w:p>
    <w:p w:rsidR="00444C12" w:rsidRPr="00471E95" w:rsidRDefault="00444C12" w:rsidP="00444C12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Inventarios.</w:t>
      </w:r>
    </w:p>
    <w:p w:rsidR="00444C12" w:rsidRPr="00471E95" w:rsidRDefault="00444C12" w:rsidP="00444C12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Balance general.</w:t>
      </w:r>
    </w:p>
    <w:p w:rsidR="00444C12" w:rsidRPr="00471E95" w:rsidRDefault="00444C12" w:rsidP="00444C12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Estado de pérdidas y ganancias.</w:t>
      </w:r>
    </w:p>
    <w:p w:rsidR="00444C12" w:rsidRPr="00471E95" w:rsidRDefault="00444C12" w:rsidP="00444C12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Pasivos de la entidad.</w:t>
      </w:r>
    </w:p>
    <w:p w:rsidR="00444C12" w:rsidRPr="00471E95" w:rsidRDefault="00444C12" w:rsidP="00444C12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Pago de pasivos.</w:t>
      </w:r>
    </w:p>
    <w:p w:rsidR="00444C12" w:rsidRPr="00471E95" w:rsidRDefault="00444C12" w:rsidP="00444C12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Indicación del remanente.</w:t>
      </w:r>
    </w:p>
    <w:p w:rsidR="00444C12" w:rsidRPr="00471E95" w:rsidRDefault="00444C12" w:rsidP="00444C12">
      <w:pPr>
        <w:pStyle w:val="Prrafodelista"/>
        <w:numPr>
          <w:ilvl w:val="0"/>
          <w:numId w:val="4"/>
        </w:num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>Destinación del remanente.</w:t>
      </w:r>
    </w:p>
    <w:p w:rsidR="00444C12" w:rsidRPr="00471E95" w:rsidRDefault="00444C12" w:rsidP="00444C12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</w:p>
    <w:p w:rsidR="00444C12" w:rsidRDefault="00444C12" w:rsidP="00444C12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  <w:r w:rsidRPr="00471E95">
        <w:rPr>
          <w:rFonts w:ascii="Tahoma" w:hAnsi="Tahoma" w:cs="Tahoma"/>
          <w:sz w:val="22"/>
          <w:szCs w:val="22"/>
          <w:lang w:val="es-ES"/>
        </w:rPr>
        <w:t xml:space="preserve">La asamblea de </w:t>
      </w:r>
      <w:r>
        <w:rPr>
          <w:rFonts w:ascii="Tahoma" w:hAnsi="Tahoma" w:cs="Tahoma"/>
          <w:sz w:val="22"/>
          <w:szCs w:val="22"/>
          <w:lang w:val="es-ES"/>
        </w:rPr>
        <w:t>accionistas</w:t>
      </w:r>
      <w:r w:rsidRPr="00471E95">
        <w:rPr>
          <w:rFonts w:ascii="Tahoma" w:hAnsi="Tahoma" w:cs="Tahoma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 xml:space="preserve">aprueba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el número de votos a favor, en contra o en blanco con que fue aprobada </w:t>
      </w:r>
      <w:r>
        <w:rPr>
          <w:rFonts w:ascii="Tahoma" w:hAnsi="Tahoma" w:cs="Tahoma"/>
          <w:i/>
          <w:color w:val="FF0000"/>
          <w:sz w:val="22"/>
          <w:szCs w:val="22"/>
        </w:rPr>
        <w:t>la cuenta final de liquidación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>
        <w:rPr>
          <w:rFonts w:ascii="Tahoma" w:hAnsi="Tahoma" w:cs="Tahoma"/>
          <w:i/>
          <w:sz w:val="22"/>
          <w:szCs w:val="22"/>
        </w:rPr>
        <w:t xml:space="preserve"> </w:t>
      </w:r>
      <w:r w:rsidRPr="00471E95">
        <w:rPr>
          <w:rFonts w:ascii="Tahoma" w:hAnsi="Tahoma" w:cs="Tahoma"/>
          <w:sz w:val="22"/>
          <w:szCs w:val="22"/>
          <w:lang w:val="es-ES"/>
        </w:rPr>
        <w:t xml:space="preserve">la cuenta final de liquidación, presentada por el liquidador y además determina que el remanente se </w:t>
      </w:r>
      <w:r>
        <w:rPr>
          <w:rFonts w:ascii="Tahoma" w:hAnsi="Tahoma" w:cs="Tahoma"/>
          <w:sz w:val="22"/>
          <w:szCs w:val="22"/>
          <w:lang w:val="es-ES"/>
        </w:rPr>
        <w:t>distribuirá de la siguiente forma:</w:t>
      </w:r>
    </w:p>
    <w:p w:rsidR="00444C12" w:rsidRDefault="00444C12" w:rsidP="00444C12">
      <w:pPr>
        <w:tabs>
          <w:tab w:val="left" w:leader="underscore" w:pos="9979"/>
        </w:tabs>
        <w:rPr>
          <w:rFonts w:ascii="Tahoma" w:hAnsi="Tahoma" w:cs="Tahoma"/>
          <w:sz w:val="22"/>
          <w:szCs w:val="22"/>
          <w:lang w:val="es-ES"/>
        </w:rPr>
      </w:pPr>
    </w:p>
    <w:p w:rsidR="00444C12" w:rsidRDefault="00444C12" w:rsidP="00444C12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sz w:val="22"/>
          <w:szCs w:val="22"/>
          <w:lang w:val="es-ES"/>
        </w:rPr>
        <w:t>Así entonces la asamblea aprueba por unanimidad la liquidación de la entidad.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</w:t>
      </w:r>
    </w:p>
    <w:p w:rsidR="00444C12" w:rsidRDefault="00444C12" w:rsidP="00444C12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</w:p>
    <w:p w:rsidR="00444C12" w:rsidRPr="008150F6" w:rsidRDefault="00444C12" w:rsidP="00444C12">
      <w:pPr>
        <w:tabs>
          <w:tab w:val="left" w:leader="underscore" w:pos="9979"/>
        </w:tabs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FC0CD1">
        <w:rPr>
          <w:rFonts w:ascii="Tahoma" w:hAnsi="Tahoma" w:cs="Tahoma"/>
          <w:i/>
          <w:color w:val="FF0000"/>
          <w:sz w:val="22"/>
          <w:szCs w:val="22"/>
          <w:lang w:val="es-ES"/>
        </w:rPr>
        <w:t>Nota 1: Junto con el acta debe anexarse copia de</w:t>
      </w:r>
      <w:r w:rsidR="00FC0CD1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l balance final de liquidación, </w:t>
      </w:r>
      <w:r w:rsidRPr="00FC0CD1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suscrito por el representante legal </w:t>
      </w:r>
      <w:r w:rsidR="00FC0CD1">
        <w:rPr>
          <w:rFonts w:ascii="Tahoma" w:hAnsi="Tahoma" w:cs="Tahoma"/>
          <w:i/>
          <w:color w:val="FF0000"/>
          <w:sz w:val="22"/>
          <w:szCs w:val="22"/>
          <w:lang w:val="es-ES"/>
        </w:rPr>
        <w:t>y/</w:t>
      </w:r>
      <w:r w:rsidRPr="00FC0CD1"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o liquidador de la entidad y por un contador público (art. 33 Decreto 2649 de 1993 </w:t>
      </w:r>
      <w:proofErr w:type="spellStart"/>
      <w:r w:rsidRPr="00FC0CD1">
        <w:rPr>
          <w:rFonts w:ascii="Tahoma" w:hAnsi="Tahoma" w:cs="Tahoma"/>
          <w:i/>
          <w:color w:val="FF0000"/>
          <w:sz w:val="22"/>
          <w:szCs w:val="22"/>
          <w:lang w:val="es-ES"/>
        </w:rPr>
        <w:t>conc</w:t>
      </w:r>
      <w:proofErr w:type="spellEnd"/>
      <w:r w:rsidRPr="00FC0CD1">
        <w:rPr>
          <w:rFonts w:ascii="Tahoma" w:hAnsi="Tahoma" w:cs="Tahoma"/>
          <w:i/>
          <w:color w:val="FF0000"/>
          <w:sz w:val="22"/>
          <w:szCs w:val="22"/>
          <w:lang w:val="es-ES"/>
        </w:rPr>
        <w:t>.: art. 10 Ley 43 de 1990).</w:t>
      </w:r>
    </w:p>
    <w:p w:rsidR="00444C12" w:rsidRPr="00471E95" w:rsidRDefault="00444C12" w:rsidP="00444C12">
      <w:pPr>
        <w:rPr>
          <w:rFonts w:ascii="Tahoma" w:hAnsi="Tahoma" w:cs="Tahoma"/>
          <w:sz w:val="22"/>
          <w:szCs w:val="22"/>
        </w:rPr>
      </w:pPr>
      <w:r w:rsidRPr="00471E95">
        <w:rPr>
          <w:rFonts w:ascii="Tahoma" w:hAnsi="Tahoma" w:cs="Tahoma"/>
          <w:sz w:val="22"/>
          <w:szCs w:val="22"/>
          <w:lang w:val="es-ES"/>
        </w:rPr>
        <w:tab/>
      </w:r>
    </w:p>
    <w:p w:rsidR="00444C12" w:rsidRPr="00DD7CC2" w:rsidRDefault="00444C12" w:rsidP="00444C1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</w:t>
      </w:r>
      <w:r w:rsidRPr="00DD7CC2">
        <w:rPr>
          <w:rFonts w:ascii="Tahoma" w:hAnsi="Tahoma" w:cs="Tahoma"/>
          <w:b/>
          <w:sz w:val="22"/>
          <w:szCs w:val="22"/>
        </w:rPr>
        <w:t>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444C12" w:rsidRPr="00DD7CC2" w:rsidRDefault="00444C12" w:rsidP="00444C12">
      <w:pPr>
        <w:rPr>
          <w:rFonts w:ascii="Tahoma" w:hAnsi="Tahoma" w:cs="Tahoma"/>
          <w:sz w:val="22"/>
          <w:szCs w:val="22"/>
        </w:rPr>
      </w:pPr>
    </w:p>
    <w:p w:rsidR="00444C12" w:rsidRPr="008A19A2" w:rsidRDefault="00444C12" w:rsidP="00444C12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>
        <w:rPr>
          <w:rFonts w:ascii="Tahoma" w:hAnsi="Tahoma" w:cs="Tahoma"/>
          <w:sz w:val="22"/>
          <w:szCs w:val="22"/>
        </w:rPr>
        <w:t>asistentes</w:t>
      </w:r>
      <w:r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444C12" w:rsidRPr="008A19A2" w:rsidRDefault="00444C12" w:rsidP="00444C12">
      <w:pPr>
        <w:ind w:left="360"/>
        <w:rPr>
          <w:rFonts w:ascii="Tahoma" w:hAnsi="Tahoma" w:cs="Tahoma"/>
          <w:sz w:val="22"/>
          <w:szCs w:val="22"/>
        </w:rPr>
      </w:pPr>
    </w:p>
    <w:p w:rsidR="00444C12" w:rsidRPr="008A19A2" w:rsidRDefault="00444C12" w:rsidP="00444C12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DC4A15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DC4A15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C4A15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C4A15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C4A15">
        <w:rPr>
          <w:rFonts w:ascii="Tahoma" w:hAnsi="Tahoma" w:cs="Tahoma"/>
          <w:color w:val="FF0000"/>
          <w:sz w:val="22"/>
          <w:szCs w:val="22"/>
        </w:rPr>
        <w:t>)</w:t>
      </w:r>
    </w:p>
    <w:p w:rsidR="00444C12" w:rsidRDefault="00444C12" w:rsidP="00444C12">
      <w:pPr>
        <w:rPr>
          <w:rFonts w:ascii="Tahoma" w:hAnsi="Tahoma" w:cs="Tahoma"/>
          <w:sz w:val="22"/>
          <w:szCs w:val="22"/>
        </w:rPr>
      </w:pPr>
    </w:p>
    <w:p w:rsidR="00444C12" w:rsidRDefault="00444C12" w:rsidP="00444C12">
      <w:pPr>
        <w:rPr>
          <w:rFonts w:ascii="Tahoma" w:hAnsi="Tahoma" w:cs="Tahoma"/>
          <w:sz w:val="22"/>
          <w:szCs w:val="22"/>
        </w:rPr>
      </w:pPr>
    </w:p>
    <w:p w:rsidR="00444C12" w:rsidRDefault="00444C12" w:rsidP="00444C12">
      <w:pPr>
        <w:rPr>
          <w:rFonts w:ascii="Tahoma" w:hAnsi="Tahoma" w:cs="Tahoma"/>
          <w:sz w:val="22"/>
          <w:szCs w:val="22"/>
        </w:rPr>
      </w:pPr>
    </w:p>
    <w:p w:rsidR="00444C12" w:rsidRDefault="00444C12" w:rsidP="00444C12">
      <w:pPr>
        <w:rPr>
          <w:rFonts w:ascii="Tahoma" w:hAnsi="Tahoma" w:cs="Tahoma"/>
          <w:sz w:val="22"/>
          <w:szCs w:val="22"/>
        </w:rPr>
      </w:pPr>
    </w:p>
    <w:p w:rsidR="00FC0CD1" w:rsidRPr="008A19A2" w:rsidRDefault="00FC0CD1" w:rsidP="00444C12">
      <w:pPr>
        <w:rPr>
          <w:rFonts w:ascii="Tahoma" w:hAnsi="Tahoma" w:cs="Tahoma"/>
          <w:sz w:val="22"/>
          <w:szCs w:val="22"/>
        </w:rPr>
      </w:pPr>
    </w:p>
    <w:p w:rsidR="00444C12" w:rsidRPr="008A19A2" w:rsidRDefault="00444C12" w:rsidP="00444C12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444C12" w:rsidRDefault="00444C12" w:rsidP="00444C12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444C12" w:rsidRDefault="00444C12" w:rsidP="00444C12">
      <w:pPr>
        <w:rPr>
          <w:rFonts w:ascii="Tahoma" w:hAnsi="Tahoma" w:cs="Tahoma"/>
          <w:sz w:val="22"/>
          <w:szCs w:val="22"/>
        </w:rPr>
      </w:pPr>
    </w:p>
    <w:p w:rsidR="00FC0CD1" w:rsidRDefault="00FC0CD1" w:rsidP="00444C12">
      <w:pPr>
        <w:rPr>
          <w:rFonts w:ascii="Tahoma" w:hAnsi="Tahoma" w:cs="Tahoma"/>
          <w:sz w:val="22"/>
          <w:szCs w:val="22"/>
        </w:rPr>
      </w:pPr>
    </w:p>
    <w:p w:rsidR="00FC0CD1" w:rsidRPr="008A19A2" w:rsidRDefault="00FC0CD1" w:rsidP="00444C12">
      <w:pPr>
        <w:rPr>
          <w:rFonts w:ascii="Tahoma" w:hAnsi="Tahoma" w:cs="Tahoma"/>
          <w:sz w:val="22"/>
          <w:szCs w:val="22"/>
        </w:rPr>
      </w:pPr>
    </w:p>
    <w:p w:rsidR="00444C12" w:rsidRPr="008A19A2" w:rsidRDefault="00444C12" w:rsidP="00444C12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lastRenderedPageBreak/>
        <w:t>Esta acta es fiel copia tomada de la original</w:t>
      </w:r>
    </w:p>
    <w:p w:rsidR="00444C12" w:rsidRPr="008A19A2" w:rsidRDefault="00444C12" w:rsidP="00444C12">
      <w:pPr>
        <w:rPr>
          <w:rFonts w:ascii="Tahoma" w:hAnsi="Tahoma" w:cs="Tahoma"/>
          <w:sz w:val="22"/>
          <w:szCs w:val="22"/>
          <w:lang w:val="es-ES"/>
        </w:rPr>
      </w:pPr>
    </w:p>
    <w:p w:rsidR="00444C12" w:rsidRDefault="00444C12" w:rsidP="00444C12">
      <w:pPr>
        <w:rPr>
          <w:rFonts w:ascii="Tahoma" w:hAnsi="Tahoma" w:cs="Tahoma"/>
          <w:sz w:val="22"/>
          <w:szCs w:val="22"/>
          <w:lang w:val="es-ES"/>
        </w:rPr>
      </w:pPr>
    </w:p>
    <w:p w:rsidR="00444C12" w:rsidRDefault="00444C12" w:rsidP="00444C12">
      <w:pPr>
        <w:rPr>
          <w:rFonts w:ascii="Tahoma" w:hAnsi="Tahoma" w:cs="Tahoma"/>
          <w:sz w:val="22"/>
          <w:szCs w:val="22"/>
          <w:lang w:val="es-ES"/>
        </w:rPr>
      </w:pPr>
    </w:p>
    <w:p w:rsidR="00444C12" w:rsidRPr="008A19A2" w:rsidRDefault="00444C12" w:rsidP="00444C12">
      <w:pPr>
        <w:rPr>
          <w:rFonts w:ascii="Tahoma" w:hAnsi="Tahoma" w:cs="Tahoma"/>
          <w:sz w:val="22"/>
          <w:szCs w:val="22"/>
          <w:lang w:val="es-ES"/>
        </w:rPr>
      </w:pPr>
    </w:p>
    <w:p w:rsidR="00444C12" w:rsidRPr="008A19A2" w:rsidRDefault="00444C12" w:rsidP="00444C12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444C12" w:rsidRPr="0087160F" w:rsidRDefault="00444C12" w:rsidP="00444C12">
      <w:r w:rsidRPr="008A19A2">
        <w:rPr>
          <w:rFonts w:ascii="Tahoma" w:hAnsi="Tahoma" w:cs="Tahoma"/>
          <w:sz w:val="22"/>
          <w:szCs w:val="22"/>
          <w:lang w:val="es-ES"/>
        </w:rPr>
        <w:t>CC N</w:t>
      </w:r>
      <w:r>
        <w:rPr>
          <w:rFonts w:ascii="Tahoma" w:hAnsi="Tahoma" w:cs="Tahoma"/>
          <w:sz w:val="22"/>
          <w:szCs w:val="22"/>
          <w:lang w:val="es-ES"/>
        </w:rPr>
        <w:t>o</w:t>
      </w:r>
    </w:p>
    <w:p w:rsidR="006D3AE8" w:rsidRDefault="006D3AE8" w:rsidP="00444C12"/>
    <w:sectPr w:rsidR="006D3AE8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C31" w:rsidRDefault="00A71C31" w:rsidP="0042729E">
      <w:r>
        <w:separator/>
      </w:r>
    </w:p>
  </w:endnote>
  <w:endnote w:type="continuationSeparator" w:id="0">
    <w:p w:rsidR="00A71C31" w:rsidRDefault="00A71C31" w:rsidP="0042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C31" w:rsidRDefault="00A71C31" w:rsidP="0042729E">
      <w:r>
        <w:separator/>
      </w:r>
    </w:p>
  </w:footnote>
  <w:footnote w:type="continuationSeparator" w:id="0">
    <w:p w:rsidR="00A71C31" w:rsidRDefault="00A71C31" w:rsidP="00427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40" w:rsidRDefault="00A71C31" w:rsidP="00771140">
    <w:pPr>
      <w:pStyle w:val="Encabezado"/>
    </w:pPr>
  </w:p>
  <w:p w:rsidR="00771140" w:rsidRPr="00C7470C" w:rsidRDefault="00F272E4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:rsidR="00771140" w:rsidRDefault="00A71C3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956A5"/>
    <w:multiLevelType w:val="hybridMultilevel"/>
    <w:tmpl w:val="787EDE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82C7924"/>
    <w:multiLevelType w:val="hybridMultilevel"/>
    <w:tmpl w:val="64A81232"/>
    <w:lvl w:ilvl="0" w:tplc="240A0019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6" w:hanging="360"/>
      </w:pPr>
    </w:lvl>
    <w:lvl w:ilvl="2" w:tplc="240A001B" w:tentative="1">
      <w:start w:val="1"/>
      <w:numFmt w:val="lowerRoman"/>
      <w:lvlText w:val="%3."/>
      <w:lvlJc w:val="right"/>
      <w:pPr>
        <w:ind w:left="1866" w:hanging="180"/>
      </w:pPr>
    </w:lvl>
    <w:lvl w:ilvl="3" w:tplc="240A000F" w:tentative="1">
      <w:start w:val="1"/>
      <w:numFmt w:val="decimal"/>
      <w:lvlText w:val="%4."/>
      <w:lvlJc w:val="left"/>
      <w:pPr>
        <w:ind w:left="2586" w:hanging="360"/>
      </w:pPr>
    </w:lvl>
    <w:lvl w:ilvl="4" w:tplc="240A0019" w:tentative="1">
      <w:start w:val="1"/>
      <w:numFmt w:val="lowerLetter"/>
      <w:lvlText w:val="%5."/>
      <w:lvlJc w:val="left"/>
      <w:pPr>
        <w:ind w:left="3306" w:hanging="360"/>
      </w:pPr>
    </w:lvl>
    <w:lvl w:ilvl="5" w:tplc="240A001B" w:tentative="1">
      <w:start w:val="1"/>
      <w:numFmt w:val="lowerRoman"/>
      <w:lvlText w:val="%6."/>
      <w:lvlJc w:val="right"/>
      <w:pPr>
        <w:ind w:left="4026" w:hanging="180"/>
      </w:pPr>
    </w:lvl>
    <w:lvl w:ilvl="6" w:tplc="240A000F" w:tentative="1">
      <w:start w:val="1"/>
      <w:numFmt w:val="decimal"/>
      <w:lvlText w:val="%7."/>
      <w:lvlJc w:val="left"/>
      <w:pPr>
        <w:ind w:left="4746" w:hanging="360"/>
      </w:pPr>
    </w:lvl>
    <w:lvl w:ilvl="7" w:tplc="240A0019" w:tentative="1">
      <w:start w:val="1"/>
      <w:numFmt w:val="lowerLetter"/>
      <w:lvlText w:val="%8."/>
      <w:lvlJc w:val="left"/>
      <w:pPr>
        <w:ind w:left="5466" w:hanging="360"/>
      </w:pPr>
    </w:lvl>
    <w:lvl w:ilvl="8" w:tplc="240A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C12"/>
    <w:rsid w:val="0006309D"/>
    <w:rsid w:val="002A5526"/>
    <w:rsid w:val="002A789E"/>
    <w:rsid w:val="00352247"/>
    <w:rsid w:val="0042729E"/>
    <w:rsid w:val="00444C12"/>
    <w:rsid w:val="00527B97"/>
    <w:rsid w:val="0061457F"/>
    <w:rsid w:val="006D3AE8"/>
    <w:rsid w:val="0077716A"/>
    <w:rsid w:val="0082789F"/>
    <w:rsid w:val="008D3C5D"/>
    <w:rsid w:val="00996258"/>
    <w:rsid w:val="009A6047"/>
    <w:rsid w:val="00A11DAC"/>
    <w:rsid w:val="00A1507F"/>
    <w:rsid w:val="00A26E13"/>
    <w:rsid w:val="00A71C31"/>
    <w:rsid w:val="00B509FC"/>
    <w:rsid w:val="00C51DFD"/>
    <w:rsid w:val="00C94474"/>
    <w:rsid w:val="00DD0CB2"/>
    <w:rsid w:val="00EB0F83"/>
    <w:rsid w:val="00ED7423"/>
    <w:rsid w:val="00F272E4"/>
    <w:rsid w:val="00FC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4C1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44C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44C12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444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4C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4C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C12"/>
    <w:rPr>
      <w:rFonts w:ascii="Tahoma" w:eastAsia="Times New Roman" w:hAnsi="Tahoma" w:cs="Tahoma"/>
      <w:sz w:val="16"/>
      <w:szCs w:val="16"/>
      <w:lang w:eastAsia="es-CO"/>
    </w:rPr>
  </w:style>
  <w:style w:type="character" w:customStyle="1" w:styleId="il">
    <w:name w:val="il"/>
    <w:basedOn w:val="Fuentedeprrafopredeter"/>
    <w:rsid w:val="00FC0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9</cp:revision>
  <dcterms:created xsi:type="dcterms:W3CDTF">2014-05-23T15:53:00Z</dcterms:created>
  <dcterms:modified xsi:type="dcterms:W3CDTF">2018-07-11T03:22:00Z</dcterms:modified>
</cp:coreProperties>
</file>