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971" w:rsidRDefault="00FF6971">
      <w:pPr>
        <w:jc w:val="center"/>
        <w:rPr>
          <w:rFonts w:ascii="Arial" w:hAnsi="Arial" w:cs="Arial"/>
          <w:color w:val="2E74B5" w:themeColor="accent1" w:themeShade="BF"/>
          <w:sz w:val="72"/>
          <w:szCs w:val="72"/>
        </w:rPr>
      </w:pPr>
      <w:bookmarkStart w:id="0" w:name="_GoBack"/>
      <w:bookmarkEnd w:id="0"/>
    </w:p>
    <w:p w:rsidR="00FF6971" w:rsidRDefault="00FF6971">
      <w:pPr>
        <w:jc w:val="center"/>
        <w:rPr>
          <w:rFonts w:ascii="Arial" w:hAnsi="Arial" w:cs="Arial"/>
          <w:color w:val="2E74B5" w:themeColor="accent1" w:themeShade="BF"/>
          <w:sz w:val="72"/>
          <w:szCs w:val="72"/>
        </w:rPr>
      </w:pPr>
    </w:p>
    <w:p w:rsidR="00FF6971" w:rsidRDefault="00913652">
      <w:pPr>
        <w:jc w:val="center"/>
      </w:pPr>
      <w:r>
        <w:rPr>
          <w:rFonts w:ascii="Arial" w:hAnsi="Arial" w:cs="Arial"/>
          <w:color w:val="2E74B5" w:themeColor="accent1" w:themeShade="BF"/>
          <w:sz w:val="72"/>
          <w:szCs w:val="72"/>
        </w:rPr>
        <w:t>PROCEDIMIENTO DE DISPOSICIÓN FINAL DE DOCUMENTOS</w:t>
      </w:r>
    </w:p>
    <w:p w:rsidR="00FF6971" w:rsidRDefault="00913652">
      <w:pPr>
        <w:jc w:val="center"/>
        <w:rPr>
          <w:rFonts w:ascii="Arial" w:hAnsi="Arial" w:cs="Arial"/>
          <w:color w:val="2E74B5" w:themeColor="accent1" w:themeShade="BF"/>
          <w:sz w:val="96"/>
          <w:szCs w:val="96"/>
        </w:rPr>
      </w:pPr>
      <w:r>
        <w:rPr>
          <w:noProof/>
          <w:lang w:eastAsia="es-CO"/>
        </w:rPr>
        <w:drawing>
          <wp:inline distT="0" distB="0" distL="0" distR="0">
            <wp:extent cx="4007485" cy="4007485"/>
            <wp:effectExtent l="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85" cy="400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971" w:rsidRDefault="00FF6971">
      <w:pPr>
        <w:rPr>
          <w:rFonts w:ascii="Arial" w:hAnsi="Arial" w:cs="Arial"/>
          <w:sz w:val="24"/>
          <w:szCs w:val="24"/>
        </w:rPr>
      </w:pPr>
    </w:p>
    <w:p w:rsidR="00FF6971" w:rsidRDefault="00FF6971">
      <w:pPr>
        <w:rPr>
          <w:rFonts w:ascii="Arial" w:hAnsi="Arial" w:cs="Arial"/>
          <w:sz w:val="24"/>
          <w:szCs w:val="24"/>
        </w:rPr>
      </w:pPr>
    </w:p>
    <w:p w:rsidR="00FF6971" w:rsidRDefault="0091365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</w:t>
      </w:r>
    </w:p>
    <w:p w:rsidR="00FF6971" w:rsidRDefault="009136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Identificar y/o determinar la disposición final de las series y </w:t>
      </w:r>
      <w:proofErr w:type="spellStart"/>
      <w:r>
        <w:rPr>
          <w:rFonts w:ascii="Arial" w:hAnsi="Arial" w:cs="Arial"/>
          <w:sz w:val="24"/>
          <w:szCs w:val="24"/>
        </w:rPr>
        <w:t>subseries</w:t>
      </w:r>
      <w:proofErr w:type="spellEnd"/>
      <w:r>
        <w:rPr>
          <w:rFonts w:ascii="Arial" w:hAnsi="Arial" w:cs="Arial"/>
          <w:sz w:val="24"/>
          <w:szCs w:val="24"/>
        </w:rPr>
        <w:t xml:space="preserve"> documentales con base en las Tablas de Retención Documental de la Cámara de Comercio de Magangué, para realizar las </w:t>
      </w:r>
      <w:r>
        <w:rPr>
          <w:rFonts w:ascii="Arial" w:hAnsi="Arial" w:cs="Arial"/>
          <w:sz w:val="24"/>
          <w:szCs w:val="24"/>
        </w:rPr>
        <w:t>transferencias primarias y/o secundarias.</w:t>
      </w:r>
    </w:p>
    <w:p w:rsidR="00FF6971" w:rsidRDefault="00FF6971">
      <w:pPr>
        <w:jc w:val="both"/>
        <w:rPr>
          <w:rFonts w:ascii="Arial" w:hAnsi="Arial" w:cs="Arial"/>
          <w:sz w:val="24"/>
          <w:szCs w:val="24"/>
        </w:rPr>
      </w:pPr>
    </w:p>
    <w:p w:rsidR="00FF6971" w:rsidRDefault="0091365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ALCANCE</w:t>
      </w:r>
    </w:p>
    <w:p w:rsidR="00FF6971" w:rsidRDefault="009136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procedimiento es aplicable a todos los procesos de la cámara de Comercio de Magangué. Inicia con la identificación de los expedientes para así determinar su disposición final en las </w:t>
      </w:r>
      <w:proofErr w:type="spellStart"/>
      <w:r>
        <w:rPr>
          <w:rFonts w:ascii="Arial" w:hAnsi="Arial" w:cs="Arial"/>
          <w:sz w:val="24"/>
          <w:szCs w:val="24"/>
        </w:rPr>
        <w:t>TRD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TVD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F6971" w:rsidRDefault="00FF6971">
      <w:pPr>
        <w:jc w:val="both"/>
        <w:rPr>
          <w:rFonts w:ascii="Arial" w:hAnsi="Arial" w:cs="Arial"/>
          <w:sz w:val="24"/>
          <w:szCs w:val="24"/>
        </w:rPr>
      </w:pPr>
    </w:p>
    <w:p w:rsidR="00FF6971" w:rsidRDefault="00FF6971">
      <w:pPr>
        <w:jc w:val="both"/>
        <w:rPr>
          <w:rFonts w:ascii="Arial" w:hAnsi="Arial" w:cs="Arial"/>
          <w:sz w:val="24"/>
          <w:szCs w:val="24"/>
        </w:rPr>
      </w:pPr>
    </w:p>
    <w:p w:rsidR="00FF6971" w:rsidRDefault="0091365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</w:t>
      </w:r>
      <w:r>
        <w:rPr>
          <w:rFonts w:ascii="Arial" w:hAnsi="Arial" w:cs="Arial"/>
          <w:b/>
          <w:sz w:val="24"/>
          <w:szCs w:val="24"/>
        </w:rPr>
        <w:t>ENTOS DE APOYO</w:t>
      </w:r>
    </w:p>
    <w:p w:rsidR="00FF6971" w:rsidRDefault="009136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Mini-manual tabla de retención y trasferencias documentales: versión actualizada, </w:t>
      </w:r>
      <w:proofErr w:type="spellStart"/>
      <w:r>
        <w:rPr>
          <w:rFonts w:ascii="Arial" w:hAnsi="Arial" w:cs="Arial"/>
          <w:sz w:val="24"/>
          <w:szCs w:val="24"/>
        </w:rPr>
        <w:t>AGN</w:t>
      </w:r>
      <w:proofErr w:type="spellEnd"/>
      <w:r>
        <w:rPr>
          <w:rFonts w:ascii="Arial" w:hAnsi="Arial" w:cs="Arial"/>
          <w:sz w:val="24"/>
          <w:szCs w:val="24"/>
        </w:rPr>
        <w:t>, 2001 P.28)</w:t>
      </w:r>
    </w:p>
    <w:p w:rsidR="00FF6971" w:rsidRDefault="00FF6971">
      <w:pPr>
        <w:rPr>
          <w:rFonts w:ascii="Arial" w:hAnsi="Arial" w:cs="Arial"/>
          <w:sz w:val="24"/>
          <w:szCs w:val="24"/>
        </w:rPr>
      </w:pPr>
    </w:p>
    <w:p w:rsidR="00FF6971" w:rsidRDefault="00FF6971">
      <w:pPr>
        <w:rPr>
          <w:rFonts w:ascii="Arial" w:hAnsi="Arial" w:cs="Arial"/>
          <w:sz w:val="24"/>
          <w:szCs w:val="24"/>
        </w:rPr>
      </w:pPr>
    </w:p>
    <w:p w:rsidR="00FF6971" w:rsidRDefault="00FF6971">
      <w:pPr>
        <w:rPr>
          <w:rFonts w:ascii="Arial" w:hAnsi="Arial" w:cs="Arial"/>
          <w:sz w:val="24"/>
          <w:szCs w:val="24"/>
        </w:rPr>
      </w:pPr>
    </w:p>
    <w:p w:rsidR="00FF6971" w:rsidRDefault="00FF6971">
      <w:pPr>
        <w:rPr>
          <w:rFonts w:ascii="Arial" w:hAnsi="Arial" w:cs="Arial"/>
          <w:sz w:val="24"/>
          <w:szCs w:val="24"/>
        </w:rPr>
      </w:pPr>
    </w:p>
    <w:p w:rsidR="00FF6971" w:rsidRDefault="00FF6971">
      <w:pPr>
        <w:rPr>
          <w:rFonts w:ascii="Arial" w:hAnsi="Arial" w:cs="Arial"/>
          <w:sz w:val="24"/>
          <w:szCs w:val="24"/>
        </w:rPr>
      </w:pPr>
    </w:p>
    <w:p w:rsidR="00FF6971" w:rsidRDefault="00FF6971">
      <w:pPr>
        <w:rPr>
          <w:rFonts w:ascii="Arial" w:hAnsi="Arial" w:cs="Arial"/>
          <w:sz w:val="24"/>
          <w:szCs w:val="24"/>
        </w:rPr>
      </w:pPr>
    </w:p>
    <w:p w:rsidR="00FF6971" w:rsidRDefault="00FF6971">
      <w:pPr>
        <w:rPr>
          <w:rFonts w:ascii="Arial" w:hAnsi="Arial" w:cs="Arial"/>
          <w:sz w:val="24"/>
          <w:szCs w:val="24"/>
        </w:rPr>
      </w:pPr>
    </w:p>
    <w:p w:rsidR="00FF6971" w:rsidRDefault="00FF6971">
      <w:pPr>
        <w:rPr>
          <w:rFonts w:ascii="Arial" w:hAnsi="Arial" w:cs="Arial"/>
          <w:sz w:val="24"/>
          <w:szCs w:val="24"/>
        </w:rPr>
      </w:pPr>
    </w:p>
    <w:p w:rsidR="00FF6971" w:rsidRDefault="00FF6971">
      <w:pPr>
        <w:rPr>
          <w:rFonts w:ascii="Arial" w:hAnsi="Arial" w:cs="Arial"/>
          <w:sz w:val="24"/>
          <w:szCs w:val="24"/>
        </w:rPr>
      </w:pPr>
    </w:p>
    <w:p w:rsidR="00FF6971" w:rsidRDefault="00FF6971">
      <w:pPr>
        <w:rPr>
          <w:rFonts w:ascii="Arial" w:hAnsi="Arial" w:cs="Arial"/>
          <w:sz w:val="24"/>
          <w:szCs w:val="24"/>
        </w:rPr>
      </w:pPr>
    </w:p>
    <w:p w:rsidR="00FF6971" w:rsidRDefault="00FF6971">
      <w:pPr>
        <w:rPr>
          <w:rFonts w:ascii="Arial" w:hAnsi="Arial" w:cs="Arial"/>
          <w:sz w:val="24"/>
          <w:szCs w:val="24"/>
        </w:rPr>
      </w:pPr>
    </w:p>
    <w:p w:rsidR="00FF6971" w:rsidRDefault="00FF6971">
      <w:pPr>
        <w:rPr>
          <w:rFonts w:ascii="Arial" w:hAnsi="Arial" w:cs="Arial"/>
          <w:sz w:val="24"/>
          <w:szCs w:val="24"/>
        </w:rPr>
      </w:pPr>
    </w:p>
    <w:p w:rsidR="00FF6971" w:rsidRDefault="00FF6971">
      <w:pPr>
        <w:rPr>
          <w:rFonts w:ascii="Arial" w:hAnsi="Arial" w:cs="Arial"/>
          <w:sz w:val="24"/>
          <w:szCs w:val="24"/>
        </w:rPr>
      </w:pPr>
    </w:p>
    <w:p w:rsidR="00FF6971" w:rsidRDefault="00FF6971">
      <w:pPr>
        <w:rPr>
          <w:rFonts w:ascii="Arial" w:hAnsi="Arial" w:cs="Arial"/>
          <w:sz w:val="24"/>
          <w:szCs w:val="24"/>
        </w:rPr>
      </w:pPr>
    </w:p>
    <w:p w:rsidR="00FF6971" w:rsidRDefault="0091365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GLOSARIO </w:t>
      </w:r>
    </w:p>
    <w:p w:rsidR="00FF6971" w:rsidRDefault="009136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Comité interno de archivo: </w:t>
      </w:r>
      <w:r>
        <w:rPr>
          <w:rFonts w:ascii="Arial" w:hAnsi="Arial" w:cs="Arial"/>
          <w:sz w:val="24"/>
          <w:szCs w:val="24"/>
        </w:rPr>
        <w:t xml:space="preserve">grupo asesor de la alta dirección, responsable de definir las políticas, los programas de trabajo y la toma de decisiones en los procesos administrativos y técnicos de los archivos. </w:t>
      </w:r>
    </w:p>
    <w:p w:rsidR="00FF6971" w:rsidRDefault="009136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Disposición final de los documentos: </w:t>
      </w:r>
      <w:r>
        <w:rPr>
          <w:rFonts w:ascii="Arial" w:hAnsi="Arial" w:cs="Arial"/>
          <w:sz w:val="24"/>
          <w:szCs w:val="24"/>
        </w:rPr>
        <w:t>decisión resultante de la valoración</w:t>
      </w:r>
      <w:r>
        <w:rPr>
          <w:rFonts w:ascii="Arial" w:hAnsi="Arial" w:cs="Arial"/>
          <w:sz w:val="24"/>
          <w:szCs w:val="24"/>
        </w:rPr>
        <w:t xml:space="preserve"> hecha en cualquier etapa del ciclo vital de los documentos, registrada en las </w:t>
      </w:r>
      <w:proofErr w:type="spellStart"/>
      <w:r>
        <w:rPr>
          <w:rFonts w:ascii="Arial" w:hAnsi="Arial" w:cs="Arial"/>
          <w:sz w:val="24"/>
          <w:szCs w:val="24"/>
        </w:rPr>
        <w:t>TRD</w:t>
      </w:r>
      <w:proofErr w:type="spellEnd"/>
      <w:r>
        <w:rPr>
          <w:rFonts w:ascii="Arial" w:hAnsi="Arial" w:cs="Arial"/>
          <w:sz w:val="24"/>
          <w:szCs w:val="24"/>
        </w:rPr>
        <w:t xml:space="preserve">,  o en las </w:t>
      </w:r>
      <w:proofErr w:type="spellStart"/>
      <w:r>
        <w:rPr>
          <w:rFonts w:ascii="Arial" w:hAnsi="Arial" w:cs="Arial"/>
          <w:sz w:val="24"/>
          <w:szCs w:val="24"/>
        </w:rPr>
        <w:t>TVD</w:t>
      </w:r>
      <w:proofErr w:type="spellEnd"/>
      <w:r>
        <w:rPr>
          <w:rFonts w:ascii="Arial" w:hAnsi="Arial" w:cs="Arial"/>
          <w:sz w:val="24"/>
          <w:szCs w:val="24"/>
        </w:rPr>
        <w:t xml:space="preserve"> con miras a su conservación total, eliminación, selección y/o reproducción.</w:t>
      </w:r>
    </w:p>
    <w:p w:rsidR="00FF6971" w:rsidRDefault="009136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sistema de reproducción debe garantizar la legalidad y perdurabilidad de la inf</w:t>
      </w:r>
      <w:r>
        <w:rPr>
          <w:rFonts w:ascii="Arial" w:hAnsi="Arial" w:cs="Arial"/>
          <w:sz w:val="24"/>
          <w:szCs w:val="24"/>
        </w:rPr>
        <w:t xml:space="preserve">ormación. </w:t>
      </w:r>
    </w:p>
    <w:p w:rsidR="00FF6971" w:rsidRDefault="009136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Documento de apoyo: </w:t>
      </w:r>
      <w:r>
        <w:rPr>
          <w:rFonts w:ascii="Arial" w:hAnsi="Arial" w:cs="Arial"/>
          <w:sz w:val="24"/>
          <w:szCs w:val="24"/>
        </w:rPr>
        <w:t xml:space="preserve">documento generado por la misma oficina o por otras oficinas o instituciones, que no hacen parte de sus series documentales, pero es de utilidad para el cumplimiento de sus funciones. </w:t>
      </w:r>
    </w:p>
    <w:p w:rsidR="00FF6971" w:rsidRDefault="009136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Documento de archivo:</w:t>
      </w:r>
      <w:r>
        <w:rPr>
          <w:rFonts w:ascii="Arial" w:hAnsi="Arial" w:cs="Arial"/>
          <w:sz w:val="24"/>
          <w:szCs w:val="24"/>
        </w:rPr>
        <w:t xml:space="preserve"> registro de inform</w:t>
      </w:r>
      <w:r>
        <w:rPr>
          <w:rFonts w:ascii="Arial" w:hAnsi="Arial" w:cs="Arial"/>
          <w:sz w:val="24"/>
          <w:szCs w:val="24"/>
        </w:rPr>
        <w:t>ación producida o recibida por una entidad pública o privada en razón de sus actividades o funciones.</w:t>
      </w:r>
    </w:p>
    <w:p w:rsidR="00FF6971" w:rsidRDefault="009136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Muestreo:</w:t>
      </w:r>
      <w:r>
        <w:rPr>
          <w:rFonts w:ascii="Arial" w:hAnsi="Arial" w:cs="Arial"/>
          <w:sz w:val="24"/>
          <w:szCs w:val="24"/>
        </w:rPr>
        <w:t xml:space="preserve"> operación por la cual se extraen unidades documentales representativas de las series que se conservan parcialmente. Se efectúa durante la selecc</w:t>
      </w:r>
      <w:r>
        <w:rPr>
          <w:rFonts w:ascii="Arial" w:hAnsi="Arial" w:cs="Arial"/>
          <w:sz w:val="24"/>
          <w:szCs w:val="24"/>
        </w:rPr>
        <w:t>ión hecha con criterios alfabéticos, cronológicos, numéricos, topográficos, temáticos entre otros.</w:t>
      </w:r>
    </w:p>
    <w:p w:rsidR="00FF6971" w:rsidRDefault="009136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Valor primario:</w:t>
      </w:r>
      <w:r>
        <w:rPr>
          <w:rFonts w:ascii="Arial" w:hAnsi="Arial" w:cs="Arial"/>
          <w:sz w:val="24"/>
          <w:szCs w:val="24"/>
        </w:rPr>
        <w:t xml:space="preserve"> es el que tienen los documentos mientras sirven a la institución productora y al iniciador, destinatario o beneficiario. Es decir a los invol</w:t>
      </w:r>
      <w:r>
        <w:rPr>
          <w:rFonts w:ascii="Arial" w:hAnsi="Arial" w:cs="Arial"/>
          <w:sz w:val="24"/>
          <w:szCs w:val="24"/>
        </w:rPr>
        <w:t>ucrados en el asunto.</w:t>
      </w:r>
    </w:p>
    <w:p w:rsidR="00FF6971" w:rsidRDefault="009136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Valor secundario:</w:t>
      </w:r>
      <w:r>
        <w:rPr>
          <w:rFonts w:ascii="Arial" w:hAnsi="Arial" w:cs="Arial"/>
          <w:sz w:val="24"/>
          <w:szCs w:val="24"/>
        </w:rPr>
        <w:t xml:space="preserve"> es el que interesa a los investigadores de información retrospectiva. Surge una vez agotado el valor inmediato o primario. Los documentos que tienen este valor se conservan permanentemente. </w:t>
      </w:r>
    </w:p>
    <w:p w:rsidR="00FF6971" w:rsidRDefault="00FF6971">
      <w:pPr>
        <w:jc w:val="both"/>
        <w:rPr>
          <w:rFonts w:ascii="Arial" w:hAnsi="Arial" w:cs="Arial"/>
          <w:sz w:val="24"/>
          <w:szCs w:val="24"/>
        </w:rPr>
      </w:pPr>
    </w:p>
    <w:p w:rsidR="00FF6971" w:rsidRDefault="00FF6971">
      <w:pPr>
        <w:jc w:val="both"/>
        <w:rPr>
          <w:rFonts w:ascii="Arial" w:hAnsi="Arial" w:cs="Arial"/>
          <w:sz w:val="24"/>
          <w:szCs w:val="24"/>
        </w:rPr>
      </w:pPr>
    </w:p>
    <w:p w:rsidR="00FF6971" w:rsidRDefault="00FF6971">
      <w:pPr>
        <w:jc w:val="both"/>
        <w:rPr>
          <w:rFonts w:ascii="Arial" w:hAnsi="Arial" w:cs="Arial"/>
          <w:sz w:val="24"/>
          <w:szCs w:val="24"/>
        </w:rPr>
      </w:pPr>
    </w:p>
    <w:p w:rsidR="00FF6971" w:rsidRDefault="00FF6971">
      <w:pPr>
        <w:rPr>
          <w:rFonts w:ascii="Arial" w:hAnsi="Arial" w:cs="Arial"/>
          <w:sz w:val="24"/>
          <w:szCs w:val="24"/>
        </w:rPr>
      </w:pPr>
    </w:p>
    <w:p w:rsidR="00FF6971" w:rsidRDefault="00FF6971">
      <w:pPr>
        <w:rPr>
          <w:rFonts w:ascii="Arial" w:hAnsi="Arial" w:cs="Arial"/>
          <w:sz w:val="24"/>
          <w:szCs w:val="24"/>
        </w:rPr>
      </w:pPr>
    </w:p>
    <w:p w:rsidR="00FF6971" w:rsidRDefault="00FF6971">
      <w:pPr>
        <w:rPr>
          <w:rFonts w:ascii="Arial" w:hAnsi="Arial" w:cs="Arial"/>
          <w:sz w:val="24"/>
          <w:szCs w:val="24"/>
        </w:rPr>
      </w:pPr>
    </w:p>
    <w:p w:rsidR="00FF6971" w:rsidRDefault="00FF6971">
      <w:pPr>
        <w:rPr>
          <w:rFonts w:ascii="Arial" w:hAnsi="Arial" w:cs="Arial"/>
          <w:sz w:val="24"/>
          <w:szCs w:val="24"/>
        </w:rPr>
      </w:pPr>
    </w:p>
    <w:p w:rsidR="00FF6971" w:rsidRDefault="0091365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DIRECTRICES PARA L</w:t>
      </w:r>
      <w:r>
        <w:rPr>
          <w:rFonts w:ascii="Arial" w:hAnsi="Arial" w:cs="Arial"/>
          <w:b/>
          <w:sz w:val="24"/>
          <w:szCs w:val="24"/>
        </w:rPr>
        <w:t>A DISPOSICIÓN FINAL DE LOS DOCUMENTOS</w:t>
      </w:r>
    </w:p>
    <w:p w:rsidR="00FF6971" w:rsidRDefault="009136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Cada proceso de las áreas de la Cámara de Comercio de Magangué, con el apoyo del comité interno de archivo identifica y determinan la disposición final de las series y </w:t>
      </w:r>
      <w:proofErr w:type="spellStart"/>
      <w:r>
        <w:rPr>
          <w:rFonts w:ascii="Arial" w:hAnsi="Arial" w:cs="Arial"/>
          <w:sz w:val="24"/>
          <w:szCs w:val="24"/>
        </w:rPr>
        <w:t>subseries</w:t>
      </w:r>
      <w:proofErr w:type="spellEnd"/>
      <w:r>
        <w:rPr>
          <w:rFonts w:ascii="Arial" w:hAnsi="Arial" w:cs="Arial"/>
          <w:sz w:val="24"/>
          <w:szCs w:val="24"/>
        </w:rPr>
        <w:t xml:space="preserve"> documentales con base en las Tablas de R</w:t>
      </w:r>
      <w:r>
        <w:rPr>
          <w:rFonts w:ascii="Arial" w:hAnsi="Arial" w:cs="Arial"/>
          <w:sz w:val="24"/>
          <w:szCs w:val="24"/>
        </w:rPr>
        <w:t>etención Documental y/o Tablas de Valoración Documental.</w:t>
      </w:r>
    </w:p>
    <w:p w:rsidR="00FF6971" w:rsidRDefault="00FF6971">
      <w:pPr>
        <w:jc w:val="both"/>
        <w:rPr>
          <w:rFonts w:ascii="Arial" w:hAnsi="Arial" w:cs="Arial"/>
          <w:sz w:val="24"/>
          <w:szCs w:val="24"/>
        </w:rPr>
      </w:pPr>
    </w:p>
    <w:p w:rsidR="00FF6971" w:rsidRDefault="0091365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CONSERVACIÓN TOTAL</w:t>
      </w:r>
    </w:p>
    <w:p w:rsidR="00FF6971" w:rsidRDefault="009136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aplica a aquellos documentos que tienen valor permanente, es decir, los que lo tienen por disposición legal o los que por su contenido informan sobre el origen y el desarrollo,</w:t>
      </w:r>
      <w:r>
        <w:rPr>
          <w:rFonts w:ascii="Arial" w:hAnsi="Arial" w:cs="Arial"/>
          <w:sz w:val="24"/>
          <w:szCs w:val="24"/>
        </w:rPr>
        <w:t xml:space="preserve"> estructura procedimientos y políticas de la entidad productora, convirtiéndose en testimonio de su actividad y transcendencia.</w:t>
      </w:r>
    </w:p>
    <w:p w:rsidR="00FF6971" w:rsidRDefault="0091365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Criterios</w:t>
      </w:r>
    </w:p>
    <w:p w:rsidR="00FF6971" w:rsidRDefault="009136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Cuando los documentos entregados presentan un soporte diferente del papel deben cumplir con determinadas normas de cal</w:t>
      </w:r>
      <w:r>
        <w:rPr>
          <w:rFonts w:ascii="Arial" w:hAnsi="Arial" w:cs="Arial"/>
          <w:sz w:val="24"/>
          <w:szCs w:val="24"/>
        </w:rPr>
        <w:t>idad que garanticen su conservación permanente.</w:t>
      </w:r>
    </w:p>
    <w:p w:rsidR="00FF6971" w:rsidRDefault="009136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relación con el soporte papel y tintas hay que preferir para la conservación aquellos que presenten mayor garantía y durabilidad.</w:t>
      </w:r>
    </w:p>
    <w:p w:rsidR="00FF6971" w:rsidRDefault="00FF6971">
      <w:pPr>
        <w:jc w:val="both"/>
        <w:rPr>
          <w:rFonts w:ascii="Arial" w:hAnsi="Arial" w:cs="Arial"/>
          <w:sz w:val="24"/>
          <w:szCs w:val="24"/>
        </w:rPr>
      </w:pPr>
    </w:p>
    <w:p w:rsidR="00FF6971" w:rsidRDefault="0091365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ELIMINACIÓN </w:t>
      </w:r>
    </w:p>
    <w:p w:rsidR="00FF6971" w:rsidRDefault="00913652">
      <w:pPr>
        <w:pStyle w:val="NormalWeb"/>
        <w:spacing w:before="280" w:after="2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Actividad resultante de la disposición final señalada en las </w:t>
      </w:r>
      <w:r>
        <w:rPr>
          <w:rFonts w:ascii="Arial" w:hAnsi="Arial" w:cs="Arial"/>
        </w:rPr>
        <w:t>tablas de retención o de valoración documental, para aquellos documentos que han perdido sus valores primarios y secundarios, sin perjuicio de conservar su información</w:t>
      </w:r>
      <w:proofErr w:type="gramStart"/>
      <w:r>
        <w:rPr>
          <w:rFonts w:ascii="Arial" w:hAnsi="Arial" w:cs="Arial"/>
        </w:rPr>
        <w:t>  en</w:t>
      </w:r>
      <w:proofErr w:type="gramEnd"/>
      <w:r>
        <w:rPr>
          <w:rFonts w:ascii="Arial" w:hAnsi="Arial" w:cs="Arial"/>
        </w:rPr>
        <w:t xml:space="preserve"> otros soportes.</w:t>
      </w:r>
    </w:p>
    <w:p w:rsidR="00FF6971" w:rsidRDefault="00913652">
      <w:pPr>
        <w:pStyle w:val="NormalWeb"/>
        <w:spacing w:before="280" w:after="28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Criterios</w:t>
      </w:r>
    </w:p>
    <w:p w:rsidR="00FF6971" w:rsidRDefault="00913652">
      <w:pPr>
        <w:pStyle w:val="NormalWeb"/>
        <w:numPr>
          <w:ilvl w:val="0"/>
          <w:numId w:val="2"/>
        </w:numPr>
        <w:spacing w:before="28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decisión de eliminar documentos, es responsabilidad del</w:t>
      </w:r>
      <w:r>
        <w:rPr>
          <w:rFonts w:ascii="Arial" w:hAnsi="Arial" w:cs="Arial"/>
        </w:rPr>
        <w:t xml:space="preserve"> comité interno de archivo de la Cámara de Comercio de Magangué.</w:t>
      </w:r>
    </w:p>
    <w:p w:rsidR="00FF6971" w:rsidRDefault="00913652">
      <w:pPr>
        <w:pStyle w:val="NormalWeb"/>
        <w:numPr>
          <w:ilvl w:val="0"/>
          <w:numId w:val="2"/>
        </w:numPr>
        <w:spacing w:before="28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 principio que debe observarse es aquel según el cual los documentos que deben eliminarse corresponden a los señalados en las tablas de retención documental o en los asuntos de las tablas d</w:t>
      </w:r>
      <w:r>
        <w:rPr>
          <w:rFonts w:ascii="Arial" w:hAnsi="Arial" w:cs="Arial"/>
        </w:rPr>
        <w:t>e valoración documental.</w:t>
      </w:r>
    </w:p>
    <w:p w:rsidR="00FF6971" w:rsidRDefault="00913652">
      <w:pPr>
        <w:pStyle w:val="NormalWeb"/>
        <w:numPr>
          <w:ilvl w:val="0"/>
          <w:numId w:val="2"/>
        </w:numPr>
        <w:spacing w:before="28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Ninguna serie documental puede ser destruida sin estar previamente registrada en la correspondiente tabla de retención.  La eliminación debe realizarse atendiendo lo estipulado al respecto.</w:t>
      </w:r>
    </w:p>
    <w:p w:rsidR="00FF6971" w:rsidRDefault="00913652">
      <w:pPr>
        <w:pStyle w:val="NormalWeb"/>
        <w:numPr>
          <w:ilvl w:val="0"/>
          <w:numId w:val="2"/>
        </w:numPr>
        <w:spacing w:before="280" w:after="0" w:line="276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Las eliminaciones deben formar parte del </w:t>
      </w:r>
      <w:r>
        <w:rPr>
          <w:rFonts w:ascii="Arial" w:hAnsi="Arial" w:cs="Arial"/>
        </w:rPr>
        <w:t xml:space="preserve">proceso de preparación de las transferencias primarias y secundarias, es decir, cuando los archivos de gestión transfieren al central y este al histórico. En todos casos deberá levantarse un acta acompañada de su respectivo inventario. </w:t>
      </w:r>
      <w:r>
        <w:rPr>
          <w:rFonts w:ascii="Arial" w:hAnsi="Arial" w:cs="Arial"/>
          <w:color w:val="FF0000"/>
        </w:rPr>
        <w:t>Se deja como evidenc</w:t>
      </w:r>
      <w:r>
        <w:rPr>
          <w:rFonts w:ascii="Arial" w:hAnsi="Arial" w:cs="Arial"/>
          <w:color w:val="FF0000"/>
        </w:rPr>
        <w:t>ia el acta de eliminación.(hay que actualizar el formato de eliminación)</w:t>
      </w:r>
    </w:p>
    <w:p w:rsidR="00FF6971" w:rsidRDefault="00913652">
      <w:pPr>
        <w:pStyle w:val="NormalWeb"/>
        <w:numPr>
          <w:ilvl w:val="0"/>
          <w:numId w:val="2"/>
        </w:numPr>
        <w:spacing w:before="28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Cada dependencia realiza su respectiva transferencia al archivo central.</w:t>
      </w:r>
    </w:p>
    <w:p w:rsidR="00FF6971" w:rsidRDefault="00913652">
      <w:pPr>
        <w:pStyle w:val="NormalWeb"/>
        <w:numPr>
          <w:ilvl w:val="0"/>
          <w:numId w:val="2"/>
        </w:numPr>
        <w:spacing w:before="28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Los métodos y procedimientos aplicados para la eliminación de documentos dependerá del soporte de que se trate</w:t>
      </w:r>
      <w:r>
        <w:rPr>
          <w:rFonts w:ascii="Arial" w:hAnsi="Arial" w:cs="Arial"/>
        </w:rPr>
        <w:t xml:space="preserve"> y del grado de confidencialidad del documento. En lo que respecta al papel, el reciclaje y el despedazamiento se impone, a menos que se trate de documentos confidenciales, y en todo caso será responsabilidad del comité interno de archivo determinar el tip</w:t>
      </w:r>
      <w:r>
        <w:rPr>
          <w:rFonts w:ascii="Arial" w:hAnsi="Arial" w:cs="Arial"/>
        </w:rPr>
        <w:t>o de eliminación.</w:t>
      </w:r>
    </w:p>
    <w:p w:rsidR="00FF6971" w:rsidRDefault="00913652">
      <w:pPr>
        <w:pStyle w:val="NormalWeb"/>
        <w:numPr>
          <w:ilvl w:val="0"/>
          <w:numId w:val="2"/>
        </w:numPr>
        <w:spacing w:before="280" w:after="28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se requiere digitalizar los documentos, el área de gestión documental con el aval del comité interno de archivo y con el apoyo </w:t>
      </w:r>
      <w:proofErr w:type="gramStart"/>
      <w:r>
        <w:rPr>
          <w:rFonts w:ascii="Arial" w:hAnsi="Arial" w:cs="Arial"/>
        </w:rPr>
        <w:t>del  protocolo</w:t>
      </w:r>
      <w:proofErr w:type="gramEnd"/>
      <w:r>
        <w:rPr>
          <w:rFonts w:ascii="Arial" w:hAnsi="Arial" w:cs="Arial"/>
        </w:rPr>
        <w:t xml:space="preserve"> de digitalización adoptará las técnicas para llevar a cabo el proceso. </w:t>
      </w:r>
    </w:p>
    <w:p w:rsidR="00FF6971" w:rsidRDefault="00913652">
      <w:pPr>
        <w:pStyle w:val="NormalWeb"/>
        <w:spacing w:before="280" w:after="28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SELECCIÓN</w:t>
      </w:r>
    </w:p>
    <w:p w:rsidR="00FF6971" w:rsidRDefault="00913652">
      <w:pPr>
        <w:pStyle w:val="NormalWeb"/>
        <w:spacing w:before="280" w:after="280"/>
        <w:jc w:val="both"/>
        <w:rPr>
          <w:rFonts w:ascii="Arial" w:hAnsi="Arial" w:cs="Arial"/>
        </w:rPr>
      </w:pPr>
      <w:r>
        <w:rPr>
          <w:rFonts w:ascii="Arial" w:hAnsi="Arial" w:cs="Arial"/>
        </w:rPr>
        <w:t>Actividad d</w:t>
      </w:r>
      <w:r>
        <w:rPr>
          <w:rFonts w:ascii="Arial" w:hAnsi="Arial" w:cs="Arial"/>
        </w:rPr>
        <w:t>e disposición final señalada en las Tablas de Retención Documental o de Valoración Documental y realizada en el archivo central, es el proceso por medio del cual se determina la conservación parcial de la documentación por medio del muestreo la selección d</w:t>
      </w:r>
      <w:r>
        <w:rPr>
          <w:rFonts w:ascii="Arial" w:hAnsi="Arial" w:cs="Arial"/>
        </w:rPr>
        <w:t>ocumental permite:</w:t>
      </w:r>
    </w:p>
    <w:p w:rsidR="00FF6971" w:rsidRDefault="00913652">
      <w:pPr>
        <w:pStyle w:val="NormalWeb"/>
        <w:spacing w:before="280" w:after="280"/>
        <w:jc w:val="both"/>
        <w:rPr>
          <w:rFonts w:ascii="Arial" w:hAnsi="Arial" w:cs="Arial"/>
        </w:rPr>
      </w:pPr>
      <w:r>
        <w:rPr>
          <w:rFonts w:ascii="Arial" w:hAnsi="Arial" w:cs="Arial"/>
        </w:rPr>
        <w:t>Optimizar el control y facilitar el acceso a los documentos requeridos por la administración o por el usuario externo.</w:t>
      </w:r>
    </w:p>
    <w:p w:rsidR="00FF6971" w:rsidRDefault="00913652">
      <w:pPr>
        <w:pStyle w:val="NormalWeb"/>
        <w:spacing w:before="280" w:after="280"/>
        <w:jc w:val="both"/>
        <w:rPr>
          <w:rFonts w:ascii="Arial" w:hAnsi="Arial" w:cs="Arial"/>
        </w:rPr>
      </w:pPr>
      <w:r>
        <w:rPr>
          <w:rFonts w:ascii="Arial" w:hAnsi="Arial" w:cs="Arial"/>
        </w:rPr>
        <w:t>Ofrecer acervos documentales integrales que reflejen la estructura de la entidad productora.</w:t>
      </w:r>
    </w:p>
    <w:p w:rsidR="00FF6971" w:rsidRDefault="00913652">
      <w:pPr>
        <w:pStyle w:val="NormalWeb"/>
        <w:spacing w:before="280" w:after="280"/>
        <w:jc w:val="both"/>
        <w:rPr>
          <w:rFonts w:ascii="Arial" w:hAnsi="Arial" w:cs="Arial"/>
        </w:rPr>
      </w:pPr>
      <w:r>
        <w:rPr>
          <w:rFonts w:ascii="Arial" w:hAnsi="Arial" w:cs="Arial"/>
        </w:rPr>
        <w:t>Reducir costos en espacio</w:t>
      </w:r>
      <w:r>
        <w:rPr>
          <w:rFonts w:ascii="Arial" w:hAnsi="Arial" w:cs="Arial"/>
        </w:rPr>
        <w:t>, tiempo y materiales.</w:t>
      </w:r>
    </w:p>
    <w:p w:rsidR="00FF6971" w:rsidRDefault="00913652">
      <w:pPr>
        <w:pStyle w:val="NormalWeb"/>
        <w:spacing w:before="280" w:after="280"/>
        <w:jc w:val="both"/>
        <w:rPr>
          <w:rFonts w:ascii="Arial" w:hAnsi="Arial" w:cs="Arial"/>
        </w:rPr>
      </w:pPr>
      <w:r>
        <w:rPr>
          <w:rFonts w:ascii="Arial" w:hAnsi="Arial" w:cs="Arial"/>
        </w:rPr>
        <w:t>Garantizar la conservación documental.</w:t>
      </w:r>
    </w:p>
    <w:p w:rsidR="00FF6971" w:rsidRDefault="00913652">
      <w:pPr>
        <w:pStyle w:val="NormalWeb"/>
        <w:spacing w:before="280" w:after="28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Criterios </w:t>
      </w:r>
    </w:p>
    <w:p w:rsidR="00FF6971" w:rsidRDefault="00913652">
      <w:pPr>
        <w:pStyle w:val="NormalWeb"/>
        <w:numPr>
          <w:ilvl w:val="0"/>
          <w:numId w:val="3"/>
        </w:numPr>
        <w:spacing w:before="28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La selección puede aplicarse a la documentación que ha perdido su vigencia.</w:t>
      </w:r>
    </w:p>
    <w:p w:rsidR="00FF6971" w:rsidRDefault="00913652">
      <w:pPr>
        <w:pStyle w:val="NormalWeb"/>
        <w:numPr>
          <w:ilvl w:val="0"/>
          <w:numId w:val="3"/>
        </w:numPr>
        <w:spacing w:before="28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selección debe aplicarse a series documentales voluminosas y cuyo contenido informativo se repite o se e</w:t>
      </w:r>
      <w:r>
        <w:rPr>
          <w:rFonts w:ascii="Arial" w:hAnsi="Arial" w:cs="Arial"/>
        </w:rPr>
        <w:t>ncuentra registrado en otras series.</w:t>
      </w:r>
    </w:p>
    <w:p w:rsidR="00FF6971" w:rsidRDefault="00913652">
      <w:pPr>
        <w:pStyle w:val="NormalWeb"/>
        <w:numPr>
          <w:ilvl w:val="0"/>
          <w:numId w:val="3"/>
        </w:numPr>
        <w:spacing w:before="280" w:after="28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Cuando una serie documental no requiere conservarse totalmente debe seleccionarse a través de muestreo. El % de selección lo determina la oficina productora.</w:t>
      </w:r>
    </w:p>
    <w:p w:rsidR="00FF6971" w:rsidRDefault="00913652">
      <w:pPr>
        <w:pStyle w:val="NormalWeb"/>
        <w:spacing w:before="280" w:after="280"/>
        <w:jc w:val="both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DIGITALIZACION</w:t>
      </w:r>
      <w:proofErr w:type="spellEnd"/>
    </w:p>
    <w:p w:rsidR="00FF6971" w:rsidRDefault="00913652">
      <w:pPr>
        <w:pStyle w:val="NormalWeb"/>
        <w:spacing w:before="280" w:after="2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Técnica que permite la reproducción y </w:t>
      </w:r>
      <w:r>
        <w:rPr>
          <w:rFonts w:ascii="Arial" w:hAnsi="Arial" w:cs="Arial"/>
        </w:rPr>
        <w:t>conversión de información que se encuentra de manera analógica, en otra que se puede visualizar a través del computador.</w:t>
      </w:r>
    </w:p>
    <w:p w:rsidR="00FF6971" w:rsidRDefault="00913652">
      <w:pPr>
        <w:pStyle w:val="NormalWeb"/>
        <w:spacing w:before="280" w:after="28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Criterios</w:t>
      </w:r>
    </w:p>
    <w:p w:rsidR="00FF6971" w:rsidRDefault="00913652">
      <w:pPr>
        <w:pStyle w:val="NormalWeb"/>
        <w:spacing w:before="280" w:after="2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digitalización de documentos en soporte papel, de archivos de gestión y central, se hace para agilizar su búsqueda en </w:t>
      </w:r>
      <w:r>
        <w:rPr>
          <w:rFonts w:ascii="Arial" w:hAnsi="Arial" w:cs="Arial"/>
        </w:rPr>
        <w:t xml:space="preserve">casos de consulta permanente, remota o por varios usuarios a la vez, como es el caso de los expedientes de registros públicos, historias laborales y documentos del área financiera y contable.  En caso de los documentos y archivos históricos se digitalizan </w:t>
      </w:r>
      <w:r>
        <w:rPr>
          <w:rFonts w:ascii="Arial" w:hAnsi="Arial" w:cs="Arial"/>
        </w:rPr>
        <w:t>para mejorar la legibilidad y facilitar el acceso remoto, pero sin destruir la documentación original.</w:t>
      </w:r>
    </w:p>
    <w:p w:rsidR="00FF6971" w:rsidRDefault="00913652">
      <w:pPr>
        <w:pStyle w:val="NormalWeb"/>
        <w:spacing w:before="280" w:after="2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Fijar claramente los objetivos que se pretenden en la implementación </w:t>
      </w:r>
      <w:proofErr w:type="gramStart"/>
      <w:r>
        <w:rPr>
          <w:rFonts w:ascii="Arial" w:hAnsi="Arial" w:cs="Arial"/>
        </w:rPr>
        <w:t>del  protocolo</w:t>
      </w:r>
      <w:proofErr w:type="gramEnd"/>
      <w:r>
        <w:rPr>
          <w:rFonts w:ascii="Arial" w:hAnsi="Arial" w:cs="Arial"/>
        </w:rPr>
        <w:t xml:space="preserve"> de digitalización.</w:t>
      </w:r>
    </w:p>
    <w:p w:rsidR="00FF6971" w:rsidRDefault="00913652">
      <w:pPr>
        <w:pStyle w:val="NormalWeb"/>
        <w:spacing w:before="280" w:after="28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una correcta preparación de documentos qu</w:t>
      </w:r>
      <w:r>
        <w:rPr>
          <w:rFonts w:ascii="Arial" w:hAnsi="Arial" w:cs="Arial"/>
        </w:rPr>
        <w:t>e elimine arrugas, dobleces, manchas y retire ganchos y otros elementos de los papeles.</w:t>
      </w:r>
    </w:p>
    <w:p w:rsidR="00FF6971" w:rsidRDefault="00FF6971">
      <w:pPr>
        <w:pStyle w:val="NormalWeb"/>
        <w:spacing w:before="280" w:after="280"/>
        <w:jc w:val="both"/>
        <w:rPr>
          <w:rFonts w:ascii="Arial" w:hAnsi="Arial" w:cs="Arial"/>
        </w:rPr>
      </w:pPr>
    </w:p>
    <w:p w:rsidR="00FF6971" w:rsidRDefault="00913652">
      <w:pPr>
        <w:pStyle w:val="NormalWeb"/>
        <w:spacing w:before="280" w:after="2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262"/>
        <w:gridCol w:w="3968"/>
        <w:gridCol w:w="2598"/>
      </w:tblGrid>
      <w:tr w:rsidR="00FF6971">
        <w:tc>
          <w:tcPr>
            <w:tcW w:w="8828" w:type="dxa"/>
            <w:gridSpan w:val="3"/>
            <w:shd w:val="clear" w:color="auto" w:fill="auto"/>
          </w:tcPr>
          <w:p w:rsidR="00FF6971" w:rsidRDefault="00913652">
            <w:pPr>
              <w:pStyle w:val="NormalWeb"/>
              <w:spacing w:after="0"/>
              <w:jc w:val="center"/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</w:rPr>
              <w:t>DESCRIPCION</w:t>
            </w:r>
            <w:proofErr w:type="spellEnd"/>
            <w:r>
              <w:rPr>
                <w:rFonts w:ascii="Arial" w:hAnsi="Arial" w:cs="Arial"/>
                <w:b/>
              </w:rPr>
              <w:t xml:space="preserve"> DE ACTIVIDADES</w:t>
            </w:r>
          </w:p>
        </w:tc>
      </w:tr>
      <w:tr w:rsidR="00FF6971">
        <w:tc>
          <w:tcPr>
            <w:tcW w:w="2262" w:type="dxa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Disposición</w:t>
            </w:r>
          </w:p>
        </w:tc>
        <w:tc>
          <w:tcPr>
            <w:tcW w:w="3968" w:type="dxa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Descripción</w:t>
            </w:r>
          </w:p>
        </w:tc>
        <w:tc>
          <w:tcPr>
            <w:tcW w:w="2598" w:type="dxa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Responsable</w:t>
            </w:r>
          </w:p>
        </w:tc>
      </w:tr>
      <w:tr w:rsidR="00FF6971">
        <w:tc>
          <w:tcPr>
            <w:tcW w:w="2262" w:type="dxa"/>
            <w:vMerge w:val="restart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CONSERVACIÓN TOTAL </w:t>
            </w:r>
          </w:p>
        </w:tc>
        <w:tc>
          <w:tcPr>
            <w:tcW w:w="3968" w:type="dxa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Identificar los expedientes para conservación total de acuerdo a los tiempos de </w:t>
            </w:r>
            <w:r>
              <w:rPr>
                <w:rFonts w:ascii="Arial" w:hAnsi="Arial" w:cs="Arial"/>
              </w:rPr>
              <w:t xml:space="preserve">retención establecidos en la </w:t>
            </w:r>
            <w:proofErr w:type="spellStart"/>
            <w:r>
              <w:rPr>
                <w:rFonts w:ascii="Arial" w:hAnsi="Arial" w:cs="Arial"/>
              </w:rPr>
              <w:t>TRD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598" w:type="dxa"/>
            <w:vMerge w:val="restart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Comité interno de Archivo</w:t>
            </w:r>
          </w:p>
        </w:tc>
      </w:tr>
      <w:tr w:rsidR="00FF6971">
        <w:tc>
          <w:tcPr>
            <w:tcW w:w="2262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68" w:type="dxa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Preparar la documentación y llenar el </w:t>
            </w:r>
            <w:proofErr w:type="spellStart"/>
            <w:r>
              <w:rPr>
                <w:rFonts w:ascii="Arial" w:hAnsi="Arial" w:cs="Arial"/>
              </w:rPr>
              <w:t>FUID</w:t>
            </w:r>
            <w:proofErr w:type="spellEnd"/>
          </w:p>
        </w:tc>
        <w:tc>
          <w:tcPr>
            <w:tcW w:w="2598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FF6971">
        <w:tc>
          <w:tcPr>
            <w:tcW w:w="2262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68" w:type="dxa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la transferencia documental (secundaria).</w:t>
            </w:r>
          </w:p>
        </w:tc>
        <w:tc>
          <w:tcPr>
            <w:tcW w:w="2598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FF6971">
        <w:tc>
          <w:tcPr>
            <w:tcW w:w="2262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68" w:type="dxa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Archivar los documentos siguiendo </w:t>
            </w:r>
          </w:p>
        </w:tc>
        <w:tc>
          <w:tcPr>
            <w:tcW w:w="2598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FF6971">
        <w:tc>
          <w:tcPr>
            <w:tcW w:w="2262" w:type="dxa"/>
            <w:vMerge w:val="restart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ELIMINACIÓN </w:t>
            </w:r>
          </w:p>
        </w:tc>
        <w:tc>
          <w:tcPr>
            <w:tcW w:w="3968" w:type="dxa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Identificar los expedientes a eliminar de </w:t>
            </w:r>
            <w:r>
              <w:rPr>
                <w:rFonts w:ascii="Arial" w:hAnsi="Arial" w:cs="Arial"/>
              </w:rPr>
              <w:t xml:space="preserve">acuerdo a los tiempos de retención establecidos en la </w:t>
            </w:r>
            <w:proofErr w:type="spellStart"/>
            <w:r>
              <w:rPr>
                <w:rFonts w:ascii="Arial" w:hAnsi="Arial" w:cs="Arial"/>
              </w:rPr>
              <w:t>TRD</w:t>
            </w:r>
            <w:proofErr w:type="spellEnd"/>
            <w:r>
              <w:rPr>
                <w:rFonts w:ascii="Arial" w:hAnsi="Arial" w:cs="Arial"/>
              </w:rPr>
              <w:t xml:space="preserve"> y relación de la documentación de apoyo.</w:t>
            </w:r>
          </w:p>
        </w:tc>
        <w:tc>
          <w:tcPr>
            <w:tcW w:w="2598" w:type="dxa"/>
            <w:vMerge w:val="restart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Comité Interno de Archivo</w:t>
            </w:r>
          </w:p>
        </w:tc>
      </w:tr>
      <w:tr w:rsidR="00FF6971">
        <w:tc>
          <w:tcPr>
            <w:tcW w:w="2262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68" w:type="dxa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Diligenciar el Formato único de Inventario Documental para expedientes </w:t>
            </w:r>
            <w:proofErr w:type="spellStart"/>
            <w:r>
              <w:rPr>
                <w:rFonts w:ascii="Arial" w:hAnsi="Arial" w:cs="Arial"/>
              </w:rPr>
              <w:t>TRD</w:t>
            </w:r>
            <w:proofErr w:type="spellEnd"/>
            <w:r>
              <w:rPr>
                <w:rFonts w:ascii="Arial" w:hAnsi="Arial" w:cs="Arial"/>
              </w:rPr>
              <w:t>, y relación de carpetas para documentación de apoyo.</w:t>
            </w:r>
          </w:p>
        </w:tc>
        <w:tc>
          <w:tcPr>
            <w:tcW w:w="2598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FF6971">
        <w:tc>
          <w:tcPr>
            <w:tcW w:w="2262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68" w:type="dxa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Diligenciar el acta de eliminación y verificar anexos.</w:t>
            </w:r>
          </w:p>
        </w:tc>
        <w:tc>
          <w:tcPr>
            <w:tcW w:w="2598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FF6971">
        <w:tc>
          <w:tcPr>
            <w:tcW w:w="2262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68" w:type="dxa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Destrucción física de documentos mediante el proceso de trillado.</w:t>
            </w:r>
          </w:p>
        </w:tc>
        <w:tc>
          <w:tcPr>
            <w:tcW w:w="2598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FF6971">
        <w:tc>
          <w:tcPr>
            <w:tcW w:w="2262" w:type="dxa"/>
            <w:vMerge w:val="restart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SELECCIÓN </w:t>
            </w:r>
          </w:p>
        </w:tc>
        <w:tc>
          <w:tcPr>
            <w:tcW w:w="3968" w:type="dxa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Identificar las series y </w:t>
            </w:r>
            <w:proofErr w:type="spellStart"/>
            <w:r>
              <w:rPr>
                <w:rFonts w:ascii="Arial" w:hAnsi="Arial" w:cs="Arial"/>
              </w:rPr>
              <w:t>subseries</w:t>
            </w:r>
            <w:proofErr w:type="spellEnd"/>
            <w:r>
              <w:rPr>
                <w:rFonts w:ascii="Arial" w:hAnsi="Arial" w:cs="Arial"/>
              </w:rPr>
              <w:t xml:space="preserve"> documentales que serán sometidas al proceso de selección de acuerdo a los tiempos </w:t>
            </w:r>
            <w:r>
              <w:rPr>
                <w:rFonts w:ascii="Arial" w:hAnsi="Arial" w:cs="Arial"/>
              </w:rPr>
              <w:t xml:space="preserve">de retención establecidos en las </w:t>
            </w:r>
            <w:proofErr w:type="spellStart"/>
            <w:r>
              <w:rPr>
                <w:rFonts w:ascii="Arial" w:hAnsi="Arial" w:cs="Arial"/>
              </w:rPr>
              <w:t>TRD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598" w:type="dxa"/>
            <w:vMerge w:val="restart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Comité Interno de Archivo</w:t>
            </w:r>
          </w:p>
        </w:tc>
      </w:tr>
      <w:tr w:rsidR="00FF6971">
        <w:tc>
          <w:tcPr>
            <w:tcW w:w="2262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68" w:type="dxa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Ejecutar según el criterio de selección establecido en la columna de procedimientos de las Tablas de Retención Documental.</w:t>
            </w:r>
          </w:p>
        </w:tc>
        <w:tc>
          <w:tcPr>
            <w:tcW w:w="2598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FF6971">
        <w:tc>
          <w:tcPr>
            <w:tcW w:w="2262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68" w:type="dxa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la transferencia documental (Secundaria)</w:t>
            </w:r>
          </w:p>
        </w:tc>
        <w:tc>
          <w:tcPr>
            <w:tcW w:w="2598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FF6971">
        <w:tc>
          <w:tcPr>
            <w:tcW w:w="2262" w:type="dxa"/>
            <w:vMerge w:val="restart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DIGITALIZACION</w:t>
            </w:r>
            <w:proofErr w:type="spellEnd"/>
          </w:p>
        </w:tc>
        <w:tc>
          <w:tcPr>
            <w:tcW w:w="3968" w:type="dxa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Identificar los expedientes a digitalizar según lo establecido en las Tablas de Retención Documental.</w:t>
            </w:r>
          </w:p>
        </w:tc>
        <w:tc>
          <w:tcPr>
            <w:tcW w:w="2598" w:type="dxa"/>
            <w:vMerge w:val="restart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Gestión Documental</w:t>
            </w:r>
          </w:p>
        </w:tc>
      </w:tr>
      <w:tr w:rsidR="00FF6971">
        <w:tc>
          <w:tcPr>
            <w:tcW w:w="2262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68" w:type="dxa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Identificar los expedientes que se van a digitalizar por motivo de consulta.</w:t>
            </w:r>
          </w:p>
        </w:tc>
        <w:tc>
          <w:tcPr>
            <w:tcW w:w="2598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FF6971">
        <w:tc>
          <w:tcPr>
            <w:tcW w:w="2262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68" w:type="dxa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Recibo de los documentos de archivo de gestión, por motivo de consulta para su posterior digitalización. </w:t>
            </w:r>
          </w:p>
        </w:tc>
        <w:tc>
          <w:tcPr>
            <w:tcW w:w="2598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FF6971">
        <w:tc>
          <w:tcPr>
            <w:tcW w:w="2262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68" w:type="dxa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Preparar los documentos a digitalizar siguiendo el procedimiento de organización documental en el ítem de </w:t>
            </w:r>
            <w:r>
              <w:rPr>
                <w:rFonts w:ascii="Arial" w:hAnsi="Arial" w:cs="Arial"/>
              </w:rPr>
              <w:lastRenderedPageBreak/>
              <w:t>preparación física de los documentos.</w:t>
            </w:r>
          </w:p>
        </w:tc>
        <w:tc>
          <w:tcPr>
            <w:tcW w:w="2598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FF6971">
        <w:tc>
          <w:tcPr>
            <w:tcW w:w="2262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68" w:type="dxa"/>
            <w:shd w:val="clear" w:color="auto" w:fill="auto"/>
          </w:tcPr>
          <w:p w:rsidR="00FF6971" w:rsidRDefault="00913652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Seguir el proceso de digitalización según lo establecido en el protocolo de digitalización.</w:t>
            </w:r>
          </w:p>
        </w:tc>
        <w:tc>
          <w:tcPr>
            <w:tcW w:w="2598" w:type="dxa"/>
            <w:vMerge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</w:pPr>
          </w:p>
        </w:tc>
      </w:tr>
      <w:tr w:rsidR="00FF6971">
        <w:tc>
          <w:tcPr>
            <w:tcW w:w="2262" w:type="dxa"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68" w:type="dxa"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598" w:type="dxa"/>
            <w:shd w:val="clear" w:color="auto" w:fill="auto"/>
          </w:tcPr>
          <w:p w:rsidR="00FF6971" w:rsidRDefault="00FF6971">
            <w:pPr>
              <w:pStyle w:val="NormalWeb"/>
              <w:spacing w:after="0"/>
              <w:jc w:val="both"/>
            </w:pPr>
          </w:p>
        </w:tc>
      </w:tr>
    </w:tbl>
    <w:p w:rsidR="00FF6971" w:rsidRDefault="00FF6971">
      <w:pPr>
        <w:pStyle w:val="NormalWeb"/>
        <w:spacing w:before="280" w:after="280"/>
        <w:jc w:val="both"/>
        <w:rPr>
          <w:rFonts w:ascii="Arial" w:hAnsi="Arial" w:cs="Arial"/>
          <w:b/>
        </w:rPr>
      </w:pPr>
    </w:p>
    <w:p w:rsidR="00FF6971" w:rsidRDefault="00913652">
      <w:pPr>
        <w:pStyle w:val="NormalWeb"/>
        <w:spacing w:before="280" w:after="2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ASPECTOS GENERALES DE LA SELECCIÓN Y LA </w:t>
      </w:r>
      <w:proofErr w:type="spellStart"/>
      <w:r>
        <w:rPr>
          <w:rFonts w:ascii="Arial" w:hAnsi="Arial" w:cs="Arial"/>
          <w:b/>
        </w:rPr>
        <w:t>ELIMINACION</w:t>
      </w:r>
      <w:proofErr w:type="spellEnd"/>
      <w:r>
        <w:rPr>
          <w:rFonts w:ascii="Arial" w:hAnsi="Arial" w:cs="Arial"/>
          <w:b/>
        </w:rPr>
        <w:t xml:space="preserve"> DOCUMENTAL</w:t>
      </w:r>
    </w:p>
    <w:p w:rsidR="00FF6971" w:rsidRDefault="00913652">
      <w:pPr>
        <w:pStyle w:val="NormalWeb"/>
        <w:numPr>
          <w:ilvl w:val="0"/>
          <w:numId w:val="4"/>
        </w:numPr>
        <w:spacing w:before="280" w:after="0"/>
        <w:jc w:val="both"/>
      </w:pPr>
      <w:r>
        <w:rPr>
          <w:rFonts w:ascii="Arial" w:hAnsi="Arial" w:cs="Arial"/>
        </w:rPr>
        <w:t xml:space="preserve">Levantar un acta de eliminación documental donde se especifica lo que será eliminado y la justificación. </w:t>
      </w:r>
    </w:p>
    <w:p w:rsidR="00FF6971" w:rsidRDefault="00913652">
      <w:pPr>
        <w:pStyle w:val="NormalWeb"/>
        <w:numPr>
          <w:ilvl w:val="0"/>
          <w:numId w:val="4"/>
        </w:numPr>
        <w:spacing w:before="28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Someter a evaluación por el Comité Interno de Archivo la documentación a ser eliminada.</w:t>
      </w:r>
    </w:p>
    <w:p w:rsidR="00FF6971" w:rsidRDefault="00913652">
      <w:pPr>
        <w:pStyle w:val="NormalWeb"/>
        <w:numPr>
          <w:ilvl w:val="0"/>
          <w:numId w:val="4"/>
        </w:numPr>
        <w:spacing w:before="28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Almacenar las actas de eliminación en el archivo histórico y d</w:t>
      </w:r>
      <w:r>
        <w:rPr>
          <w:rFonts w:ascii="Arial" w:hAnsi="Arial" w:cs="Arial"/>
        </w:rPr>
        <w:t>igitalizarlas para mejorar la conservación de los originales.</w:t>
      </w:r>
    </w:p>
    <w:p w:rsidR="00FF6971" w:rsidRDefault="00913652">
      <w:pPr>
        <w:pStyle w:val="NormalWeb"/>
        <w:numPr>
          <w:ilvl w:val="0"/>
          <w:numId w:val="4"/>
        </w:numPr>
        <w:spacing w:before="28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Cuando se eliminen documentos de carácter públicos deberán publicarse en la página web.</w:t>
      </w:r>
    </w:p>
    <w:p w:rsidR="00FF6971" w:rsidRDefault="00913652">
      <w:pPr>
        <w:pStyle w:val="NormalWeb"/>
        <w:numPr>
          <w:ilvl w:val="0"/>
          <w:numId w:val="4"/>
        </w:numPr>
        <w:spacing w:before="280" w:after="280"/>
        <w:jc w:val="both"/>
        <w:rPr>
          <w:rFonts w:ascii="Arial" w:hAnsi="Arial" w:cs="Arial"/>
        </w:rPr>
      </w:pPr>
      <w:r>
        <w:rPr>
          <w:rFonts w:ascii="Arial" w:hAnsi="Arial" w:cs="Arial"/>
        </w:rPr>
        <w:t>Los procesos de identificación, valoración y selección documental permiten establecer que documentos deben</w:t>
      </w:r>
      <w:r>
        <w:rPr>
          <w:rFonts w:ascii="Arial" w:hAnsi="Arial" w:cs="Arial"/>
        </w:rPr>
        <w:t xml:space="preserve"> ser eliminados.</w:t>
      </w:r>
    </w:p>
    <w:p w:rsidR="00FF6971" w:rsidRDefault="00FF6971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FF6971" w:rsidRDefault="00FF6971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FF6971" w:rsidRDefault="00FF6971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FF6971" w:rsidRDefault="00FF6971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FF6971" w:rsidRDefault="0091365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ACTUALIZACIONES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1257"/>
        <w:gridCol w:w="6118"/>
      </w:tblGrid>
      <w:tr w:rsidR="00FF6971">
        <w:trPr>
          <w:trHeight w:val="540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F6971" w:rsidRDefault="0091365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FECHA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F6971" w:rsidRDefault="00913652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VERSIÓN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F6971" w:rsidRDefault="0091365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ACTUALIZACIÓN EFECTUADA</w:t>
            </w:r>
          </w:p>
        </w:tc>
      </w:tr>
      <w:tr w:rsidR="00FF6971">
        <w:trPr>
          <w:trHeight w:val="540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971" w:rsidRDefault="009136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13/06/2017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971" w:rsidRDefault="009136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00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Default="009136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Creación del documento</w:t>
            </w:r>
          </w:p>
        </w:tc>
      </w:tr>
      <w:tr w:rsidR="00FF6971">
        <w:trPr>
          <w:trHeight w:val="540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971" w:rsidRDefault="009136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02/01/2018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971" w:rsidRDefault="009136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01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Default="009136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Se actualiza el documento cambiando el logo de la entidad.</w:t>
            </w:r>
          </w:p>
        </w:tc>
      </w:tr>
    </w:tbl>
    <w:p w:rsidR="00FF6971" w:rsidRDefault="00FF6971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FF6971" w:rsidRDefault="0091365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anchor distT="0" distB="0" distL="0" distR="0" simplePos="0" relativeHeight="24" behindDoc="0" locked="0" layoutInCell="1" allowOverlap="1">
            <wp:simplePos x="0" y="0"/>
            <wp:positionH relativeFrom="column">
              <wp:posOffset>1837690</wp:posOffset>
            </wp:positionH>
            <wp:positionV relativeFrom="paragraph">
              <wp:posOffset>852805</wp:posOffset>
            </wp:positionV>
            <wp:extent cx="1854200" cy="578485"/>
            <wp:effectExtent l="0" t="0" r="0" b="0"/>
            <wp:wrapNone/>
            <wp:docPr id="2" name="Image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000" w:type="pct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3057"/>
        <w:gridCol w:w="2784"/>
      </w:tblGrid>
      <w:tr w:rsidR="00FF6971">
        <w:trPr>
          <w:cantSplit/>
          <w:trHeight w:val="109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FF6971" w:rsidRDefault="00913652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Realizó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FF6971" w:rsidRDefault="0091365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Revisó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FF6971" w:rsidRDefault="0091365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Aprobó</w:t>
            </w:r>
          </w:p>
        </w:tc>
      </w:tr>
      <w:tr w:rsidR="00FF6971">
        <w:trPr>
          <w:cantSplit/>
          <w:trHeight w:val="1302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Default="0091365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drawing>
                <wp:anchor distT="0" distB="0" distL="0" distR="0" simplePos="0" relativeHeight="23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60325</wp:posOffset>
                  </wp:positionV>
                  <wp:extent cx="1691640" cy="807720"/>
                  <wp:effectExtent l="0" t="0" r="0" b="0"/>
                  <wp:wrapNone/>
                  <wp:docPr id="3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F6971" w:rsidRDefault="00FF697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FF6971" w:rsidRDefault="0091365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Auxiliar  de Archivo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Default="00FF697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FF6971" w:rsidRDefault="00FF697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FF6971" w:rsidRDefault="0091365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Directora 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Gestión Administrativa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71" w:rsidRDefault="0091365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drawing>
                <wp:anchor distT="0" distB="0" distL="0" distR="0" simplePos="0" relativeHeight="25" behindDoc="0" locked="0" layoutInCell="1" allowOverlap="1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28575</wp:posOffset>
                  </wp:positionV>
                  <wp:extent cx="1019810" cy="881380"/>
                  <wp:effectExtent l="0" t="0" r="0" b="0"/>
                  <wp:wrapNone/>
                  <wp:docPr id="4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88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F6971" w:rsidRDefault="00FF697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FF6971" w:rsidRDefault="0091365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Presidente Ejecutivo</w:t>
            </w:r>
          </w:p>
        </w:tc>
      </w:tr>
    </w:tbl>
    <w:p w:rsidR="00FF6971" w:rsidRDefault="00FF6971">
      <w:pPr>
        <w:rPr>
          <w:rFonts w:ascii="Arial" w:hAnsi="Arial" w:cs="Arial"/>
          <w:sz w:val="24"/>
          <w:szCs w:val="24"/>
        </w:rPr>
      </w:pPr>
    </w:p>
    <w:p w:rsidR="00FF6971" w:rsidRDefault="00FF6971">
      <w:pPr>
        <w:rPr>
          <w:rFonts w:ascii="Arial" w:hAnsi="Arial" w:cs="Arial"/>
          <w:sz w:val="24"/>
          <w:szCs w:val="24"/>
        </w:rPr>
      </w:pPr>
    </w:p>
    <w:p w:rsidR="00FF6971" w:rsidRDefault="00FF6971"/>
    <w:sectPr w:rsidR="00FF6971">
      <w:headerReference w:type="default" r:id="rId11"/>
      <w:pgSz w:w="12240" w:h="15840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652" w:rsidRDefault="00913652">
      <w:pPr>
        <w:spacing w:after="0" w:line="240" w:lineRule="auto"/>
      </w:pPr>
      <w:r>
        <w:separator/>
      </w:r>
    </w:p>
  </w:endnote>
  <w:endnote w:type="continuationSeparator" w:id="0">
    <w:p w:rsidR="00913652" w:rsidRDefault="0091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652" w:rsidRDefault="00913652">
      <w:pPr>
        <w:spacing w:after="0" w:line="240" w:lineRule="auto"/>
      </w:pPr>
      <w:r>
        <w:separator/>
      </w:r>
    </w:p>
  </w:footnote>
  <w:footnote w:type="continuationSeparator" w:id="0">
    <w:p w:rsidR="00913652" w:rsidRDefault="00913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-410"/>
      <w:tblW w:w="5000" w:type="pct"/>
      <w:tblLook w:val="01E0" w:firstRow="1" w:lastRow="1" w:firstColumn="1" w:lastColumn="1" w:noHBand="0" w:noVBand="0"/>
    </w:tblPr>
    <w:tblGrid>
      <w:gridCol w:w="2346"/>
      <w:gridCol w:w="3232"/>
      <w:gridCol w:w="1579"/>
      <w:gridCol w:w="1671"/>
    </w:tblGrid>
    <w:tr w:rsidR="00FF6971">
      <w:trPr>
        <w:trHeight w:val="73"/>
      </w:trPr>
      <w:tc>
        <w:tcPr>
          <w:tcW w:w="220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FF6971" w:rsidRDefault="00913652">
          <w:pPr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48F9E290" wp14:editId="35757EDD">
                <wp:extent cx="1352550" cy="974090"/>
                <wp:effectExtent l="0" t="0" r="0" b="0"/>
                <wp:docPr id="5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974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1" w:name="__UnoMark__37886_2955898995"/>
          <w:bookmarkEnd w:id="1"/>
        </w:p>
      </w:tc>
      <w:tc>
        <w:tcPr>
          <w:tcW w:w="334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FF6971" w:rsidRDefault="00387C71" w:rsidP="00387C71">
          <w:pPr>
            <w:jc w:val="center"/>
          </w:pPr>
          <w:bookmarkStart w:id="2" w:name="__UnoMark__37887_2955898995"/>
          <w:bookmarkEnd w:id="2"/>
          <w:r>
            <w:rPr>
              <w:rFonts w:ascii="Arial" w:hAnsi="Arial" w:cs="Arial"/>
              <w:b/>
              <w:color w:val="1F497D"/>
            </w:rPr>
            <w:t>Procedimiento de Disposición Final de los Documentos</w:t>
          </w:r>
          <w:bookmarkStart w:id="3" w:name="__UnoMark__37888_2955898995"/>
          <w:bookmarkEnd w:id="3"/>
        </w:p>
      </w:tc>
      <w:tc>
        <w:tcPr>
          <w:tcW w:w="15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FF6971" w:rsidRDefault="00913652">
          <w:pPr>
            <w:jc w:val="right"/>
          </w:pPr>
          <w:bookmarkStart w:id="4" w:name="__UnoMark__37889_2955898995"/>
          <w:bookmarkEnd w:id="4"/>
          <w:r>
            <w:rPr>
              <w:rFonts w:ascii="Arial" w:hAnsi="Arial" w:cs="Arial"/>
              <w:b/>
            </w:rPr>
            <w:t>C</w:t>
          </w:r>
          <w:r>
            <w:rPr>
              <w:rFonts w:ascii="Arial" w:hAnsi="Arial" w:cs="Arial"/>
              <w:b/>
            </w:rPr>
            <w:t xml:space="preserve">ÓDIGO:  </w:t>
          </w:r>
          <w:bookmarkStart w:id="5" w:name="__UnoMark__37890_2955898995"/>
          <w:bookmarkEnd w:id="5"/>
        </w:p>
      </w:tc>
      <w:tc>
        <w:tcPr>
          <w:tcW w:w="16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FF6971" w:rsidRDefault="00913652">
          <w:bookmarkStart w:id="6" w:name="__UnoMark__37891_2955898995"/>
          <w:bookmarkEnd w:id="6"/>
          <w:r>
            <w:rPr>
              <w:rFonts w:ascii="Arial" w:hAnsi="Arial" w:cs="Arial"/>
            </w:rPr>
            <w:t>:CCMDGD-10</w:t>
          </w:r>
          <w:bookmarkStart w:id="7" w:name="__UnoMark__37892_2955898995"/>
          <w:bookmarkEnd w:id="7"/>
        </w:p>
      </w:tc>
    </w:tr>
    <w:tr w:rsidR="00FF6971">
      <w:trPr>
        <w:trHeight w:val="37"/>
      </w:trPr>
      <w:tc>
        <w:tcPr>
          <w:tcW w:w="220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FF6971" w:rsidRDefault="00FF6971">
          <w:pPr>
            <w:rPr>
              <w:sz w:val="24"/>
              <w:szCs w:val="24"/>
            </w:rPr>
          </w:pPr>
          <w:bookmarkStart w:id="8" w:name="__UnoMark__37894_2955898995"/>
          <w:bookmarkStart w:id="9" w:name="__UnoMark__37893_2955898995"/>
          <w:bookmarkEnd w:id="8"/>
          <w:bookmarkEnd w:id="9"/>
        </w:p>
      </w:tc>
      <w:tc>
        <w:tcPr>
          <w:tcW w:w="334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FF6971" w:rsidRDefault="00FF6971">
          <w:pPr>
            <w:rPr>
              <w:rFonts w:ascii="Arial" w:hAnsi="Arial" w:cs="Arial"/>
              <w:b/>
              <w:color w:val="1F497D"/>
              <w:sz w:val="24"/>
              <w:szCs w:val="24"/>
            </w:rPr>
          </w:pPr>
          <w:bookmarkStart w:id="10" w:name="__UnoMark__37896_2955898995"/>
          <w:bookmarkStart w:id="11" w:name="__UnoMark__37895_2955898995"/>
          <w:bookmarkEnd w:id="10"/>
          <w:bookmarkEnd w:id="11"/>
        </w:p>
      </w:tc>
      <w:tc>
        <w:tcPr>
          <w:tcW w:w="15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FF6971" w:rsidRDefault="00913652">
          <w:pPr>
            <w:jc w:val="right"/>
          </w:pPr>
          <w:bookmarkStart w:id="12" w:name="__UnoMark__37897_2955898995"/>
          <w:bookmarkEnd w:id="12"/>
          <w:r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</w:rPr>
            <w:t xml:space="preserve"> </w:t>
          </w:r>
          <w:bookmarkStart w:id="13" w:name="__UnoMark__37898_2955898995"/>
          <w:bookmarkEnd w:id="13"/>
        </w:p>
      </w:tc>
      <w:tc>
        <w:tcPr>
          <w:tcW w:w="16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FF6971" w:rsidRDefault="00913652">
          <w:bookmarkStart w:id="14" w:name="__UnoMark__37899_2955898995"/>
          <w:bookmarkEnd w:id="14"/>
          <w:r>
            <w:rPr>
              <w:rFonts w:ascii="Arial" w:hAnsi="Arial" w:cs="Arial"/>
            </w:rPr>
            <w:t>:01</w:t>
          </w:r>
          <w:bookmarkStart w:id="15" w:name="__UnoMark__37900_2955898995"/>
          <w:bookmarkEnd w:id="15"/>
        </w:p>
      </w:tc>
    </w:tr>
    <w:tr w:rsidR="00FF6971">
      <w:trPr>
        <w:trHeight w:val="37"/>
      </w:trPr>
      <w:tc>
        <w:tcPr>
          <w:tcW w:w="220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FF6971" w:rsidRDefault="00FF6971">
          <w:pPr>
            <w:rPr>
              <w:sz w:val="24"/>
              <w:szCs w:val="24"/>
            </w:rPr>
          </w:pPr>
          <w:bookmarkStart w:id="16" w:name="__UnoMark__37902_2955898995"/>
          <w:bookmarkStart w:id="17" w:name="__UnoMark__37901_2955898995"/>
          <w:bookmarkEnd w:id="16"/>
          <w:bookmarkEnd w:id="17"/>
        </w:p>
      </w:tc>
      <w:tc>
        <w:tcPr>
          <w:tcW w:w="334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FF6971" w:rsidRDefault="00FF6971">
          <w:pPr>
            <w:rPr>
              <w:rFonts w:ascii="Arial" w:hAnsi="Arial" w:cs="Arial"/>
              <w:b/>
              <w:color w:val="1F497D"/>
              <w:sz w:val="24"/>
              <w:szCs w:val="24"/>
            </w:rPr>
          </w:pPr>
          <w:bookmarkStart w:id="18" w:name="__UnoMark__37904_2955898995"/>
          <w:bookmarkStart w:id="19" w:name="__UnoMark__37903_2955898995"/>
          <w:bookmarkEnd w:id="18"/>
          <w:bookmarkEnd w:id="19"/>
        </w:p>
      </w:tc>
      <w:tc>
        <w:tcPr>
          <w:tcW w:w="15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FF6971" w:rsidRDefault="00913652">
          <w:pPr>
            <w:jc w:val="right"/>
          </w:pPr>
          <w:bookmarkStart w:id="20" w:name="__UnoMark__37905_2955898995"/>
          <w:bookmarkEnd w:id="20"/>
          <w:r>
            <w:rPr>
              <w:rFonts w:ascii="Arial" w:hAnsi="Arial" w:cs="Arial"/>
              <w:b/>
            </w:rPr>
            <w:t xml:space="preserve">FECHA  DE VIGENCIA:   </w:t>
          </w:r>
          <w:bookmarkStart w:id="21" w:name="__UnoMark__37906_2955898995"/>
          <w:bookmarkEnd w:id="21"/>
        </w:p>
      </w:tc>
      <w:tc>
        <w:tcPr>
          <w:tcW w:w="16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FF6971" w:rsidRDefault="00913652">
          <w:bookmarkStart w:id="22" w:name="__UnoMark__37907_2955898995"/>
          <w:bookmarkEnd w:id="22"/>
          <w:r>
            <w:rPr>
              <w:rFonts w:ascii="Arial" w:hAnsi="Arial" w:cs="Arial"/>
            </w:rPr>
            <w:t>:02/01/2018</w:t>
          </w:r>
          <w:bookmarkStart w:id="23" w:name="__UnoMark__37908_2955898995"/>
          <w:bookmarkEnd w:id="23"/>
        </w:p>
      </w:tc>
    </w:tr>
    <w:tr w:rsidR="00FF6971">
      <w:trPr>
        <w:trHeight w:val="375"/>
      </w:trPr>
      <w:tc>
        <w:tcPr>
          <w:tcW w:w="220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FF6971" w:rsidRDefault="00FF6971">
          <w:pPr>
            <w:rPr>
              <w:sz w:val="24"/>
              <w:szCs w:val="24"/>
            </w:rPr>
          </w:pPr>
          <w:bookmarkStart w:id="24" w:name="__UnoMark__37910_2955898995"/>
          <w:bookmarkStart w:id="25" w:name="__UnoMark__37909_2955898995"/>
          <w:bookmarkEnd w:id="24"/>
          <w:bookmarkEnd w:id="25"/>
        </w:p>
      </w:tc>
      <w:tc>
        <w:tcPr>
          <w:tcW w:w="334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FF6971" w:rsidRDefault="00FF6971">
          <w:pPr>
            <w:rPr>
              <w:rFonts w:ascii="Arial" w:hAnsi="Arial" w:cs="Arial"/>
              <w:b/>
              <w:color w:val="1F497D"/>
              <w:sz w:val="24"/>
              <w:szCs w:val="24"/>
            </w:rPr>
          </w:pPr>
          <w:bookmarkStart w:id="26" w:name="__UnoMark__37912_2955898995"/>
          <w:bookmarkStart w:id="27" w:name="__UnoMark__37911_2955898995"/>
          <w:bookmarkEnd w:id="26"/>
          <w:bookmarkEnd w:id="27"/>
        </w:p>
      </w:tc>
      <w:tc>
        <w:tcPr>
          <w:tcW w:w="32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FF6971" w:rsidRDefault="00913652">
          <w:pPr>
            <w:jc w:val="right"/>
          </w:pPr>
          <w:bookmarkStart w:id="28" w:name="__UnoMark__37913_2955898995"/>
          <w:bookmarkEnd w:id="28"/>
          <w:r>
            <w:rPr>
              <w:b/>
              <w:color w:val="1F497D"/>
            </w:rPr>
            <w:t>Página 1 de 8</w:t>
          </w:r>
        </w:p>
      </w:tc>
    </w:tr>
  </w:tbl>
  <w:p w:rsidR="00FF6971" w:rsidRDefault="00FF697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08B9"/>
    <w:multiLevelType w:val="multilevel"/>
    <w:tmpl w:val="B412AA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0123A7A"/>
    <w:multiLevelType w:val="multilevel"/>
    <w:tmpl w:val="38FA4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C007B6"/>
    <w:multiLevelType w:val="multilevel"/>
    <w:tmpl w:val="292A74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55751B"/>
    <w:multiLevelType w:val="multilevel"/>
    <w:tmpl w:val="A78C2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CD7598"/>
    <w:multiLevelType w:val="multilevel"/>
    <w:tmpl w:val="569AB2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71"/>
    <w:rsid w:val="00387C71"/>
    <w:rsid w:val="00913652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FF63B45-93F0-4F7C-932E-2E46D0D1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57BE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57BE9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74A2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hAnsi="Arial"/>
      <w:color w:val="auto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Encabezado">
    <w:name w:val="header"/>
    <w:basedOn w:val="Normal"/>
    <w:link w:val="EncabezadoCar"/>
    <w:uiPriority w:val="99"/>
    <w:unhideWhenUsed/>
    <w:rsid w:val="00B57BE9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B57BE9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13D5"/>
    <w:pPr>
      <w:ind w:left="720"/>
      <w:contextualSpacing/>
    </w:pPr>
  </w:style>
  <w:style w:type="paragraph" w:styleId="NormalWeb">
    <w:name w:val="Normal (Web)"/>
    <w:basedOn w:val="Normal"/>
    <w:qFormat/>
    <w:rsid w:val="001D13D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74A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A14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1464</Words>
  <Characters>8058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LUCIA AVENDANO MUNOZ</dc:creator>
  <dc:description/>
  <cp:lastModifiedBy>Cámara de Comercio de Magangué</cp:lastModifiedBy>
  <cp:revision>2</cp:revision>
  <dcterms:created xsi:type="dcterms:W3CDTF">2019-08-12T15:28:00Z</dcterms:created>
  <dcterms:modified xsi:type="dcterms:W3CDTF">2019-08-12T15:28:00Z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Luffi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