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1330960</wp:posOffset>
                </wp:positionV>
                <wp:extent cx="903605" cy="4088765"/>
                <wp:effectExtent l="0" t="0" r="11430" b="2667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880" cy="4088160"/>
                          <a:chOff x="0" y="0"/>
                          <a:chExt cx="0" cy="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 flipH="1">
                            <a:off x="452160" y="2044800"/>
                            <a:ext cx="450720" cy="102168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ectángulo 3"/>
                        <wps:cNvSpPr/>
                        <wps:spPr>
                          <a:xfrm flipH="1">
                            <a:off x="452160" y="1022400"/>
                            <a:ext cx="450720" cy="10209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Rectángulo 4"/>
                        <wps:cNvSpPr/>
                        <wps:spPr>
                          <a:xfrm flipH="1">
                            <a:off x="0" y="1022400"/>
                            <a:ext cx="450720" cy="10209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Rectángulo 5"/>
                        <wps:cNvSpPr/>
                        <wps:spPr>
                          <a:xfrm flipH="1">
                            <a:off x="0" y="0"/>
                            <a:ext cx="450720" cy="1021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Rectángulo 6"/>
                        <wps:cNvSpPr/>
                        <wps:spPr>
                          <a:xfrm flipH="1">
                            <a:off x="0" y="2044800"/>
                            <a:ext cx="450720" cy="1021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Rectángulo 7"/>
                        <wps:cNvSpPr/>
                        <wps:spPr>
                          <a:xfrm flipH="1">
                            <a:off x="452160" y="3067200"/>
                            <a:ext cx="450720" cy="10209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387.95pt;margin-top:104.8pt;width:71.1pt;height:321.9pt" coordorigin="7759,2096" coordsize="1422,6438">
                <v:rect id="shape_0" ID="Rectangle 3" fillcolor="#f2f2f2" stroked="t" style="position:absolute;left:8471;top:5316;width:709;height:1608;flip:x">
                  <w10:wrap type="none"/>
                  <v:fill o:detectmouseclick="t" type="solid" color2="#0d0d0d"/>
                  <v:stroke color="white" weight="12600" joinstyle="miter" endcap="flat"/>
                </v:rect>
                <v:rect id="shape_0" ID="Rectangle 4" fillcolor="#bfbfbf" stroked="t" style="position:absolute;left:8471;top:3706;width:709;height:1607;flip:x">
                  <w10:wrap type="none"/>
                  <v:fill o:detectmouseclick="t" type="solid" color2="#404040"/>
                  <v:stroke color="white" weight="12600" joinstyle="miter" endcap="flat"/>
                </v:rect>
                <v:rect id="shape_0" ID="Rectangle 5" fillcolor="#f2f2f2" stroked="t" style="position:absolute;left:7759;top:3706;width:709;height:1607;flip:x">
                  <w10:wrap type="none"/>
                  <v:fill o:detectmouseclick="t" type="solid" color2="#0d0d0d"/>
                  <v:stroke color="white" weight="12600" joinstyle="miter" endcap="flat"/>
                </v:rect>
                <v:rect id="shape_0" ID="Rectangle 6" fillcolor="#bfbfbf" stroked="t" style="position:absolute;left:7759;top:2096;width:709;height:1608;flip:x">
                  <w10:wrap type="none"/>
                  <v:fill o:detectmouseclick="t" type="solid" color2="#404040"/>
                  <v:stroke color="white" weight="12600" joinstyle="miter" endcap="flat"/>
                </v:rect>
                <v:rect id="shape_0" ID="Rectangle 7" fillcolor="#bfbfbf" stroked="t" style="position:absolute;left:7759;top:5316;width:709;height:1608;flip:x">
                  <w10:wrap type="none"/>
                  <v:fill o:detectmouseclick="t" type="solid" color2="#404040"/>
                  <v:stroke color="white" weight="12600" joinstyle="miter" endcap="flat"/>
                </v:rect>
                <v:rect id="shape_0" ID="Rectangle 8" fillcolor="#bfbfbf" stroked="t" style="position:absolute;left:8471;top:6926;width:709;height:1607;flip:x">
                  <w10:wrap type="none"/>
                  <v:fill o:detectmouseclick="t" type="solid" color2="#404040"/>
                  <v:stroke color="white" weight="12600" joinstyle="miter" endcap="flat"/>
                </v:rect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87630</wp:posOffset>
                </wp:positionV>
                <wp:extent cx="6633210" cy="2686685"/>
                <wp:effectExtent l="0" t="0" r="0" b="0"/>
                <wp:wrapNone/>
                <wp:docPr id="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640" cy="268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364B1" w:rsidRDefault="00217836">
                            <w:pPr>
                              <w:pStyle w:val="Sinespaciado"/>
                              <w:ind w:left="708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MANUAL </w:t>
                            </w:r>
                          </w:p>
                          <w:p w:rsidR="003364B1" w:rsidRDefault="00217836">
                            <w:pPr>
                              <w:pStyle w:val="Sinespaciado"/>
                              <w:ind w:left="708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56"/>
                                <w:szCs w:val="56"/>
                              </w:rPr>
                              <w:t>DE  ARCHIVO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Y DOCUMENTACIÓN</w:t>
                            </w:r>
                          </w:p>
                          <w:p w:rsidR="003364B1" w:rsidRDefault="003364B1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stroked="f" style="position:absolute;margin-left:-44.2pt;margin-top:6.9pt;width:522.2pt;height:211.4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Spacing"/>
                        <w:ind w:left="708" w:hanging="0"/>
                        <w:jc w:val="center"/>
                        <w:rPr>
                          <w:rFonts w:ascii="Cambria" w:hAnsi="Cambria"/>
                          <w:b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56"/>
                          <w:szCs w:val="56"/>
                        </w:rPr>
                        <w:t xml:space="preserve">MANUAL </w:t>
                      </w:r>
                    </w:p>
                    <w:p>
                      <w:pPr>
                        <w:pStyle w:val="NoSpacing"/>
                        <w:ind w:left="708" w:hanging="0"/>
                        <w:jc w:val="center"/>
                        <w:rPr>
                          <w:rFonts w:ascii="Cambria" w:hAnsi="Cambria"/>
                          <w:b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56"/>
                          <w:szCs w:val="56"/>
                        </w:rPr>
                        <w:t>DE  ARCHIVO Y DOCUMENTACIÓN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217836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OBJETIVO</w:t>
      </w:r>
    </w:p>
    <w:p w:rsidR="003364B1" w:rsidRDefault="00217836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Establecer un marco de referencia que sirva a los usuarios y organización lograr un efectivo manejo y control del archivo institucional y se determinan los pasos a seguir </w:t>
      </w:r>
      <w:r>
        <w:rPr>
          <w:rFonts w:ascii="Arial" w:hAnsi="Arial" w:cs="Arial"/>
          <w:sz w:val="22"/>
          <w:szCs w:val="22"/>
        </w:rPr>
        <w:t xml:space="preserve">para garantizar el más completo, veraz y funcional Manual de procedimiento de Archivo y documentación, de tal manera que le permita a cada uno de los participantes del </w:t>
      </w:r>
      <w:proofErr w:type="spellStart"/>
      <w:r>
        <w:rPr>
          <w:rFonts w:ascii="Arial" w:hAnsi="Arial" w:cs="Arial"/>
          <w:sz w:val="22"/>
          <w:szCs w:val="22"/>
        </w:rPr>
        <w:t>SGC</w:t>
      </w:r>
      <w:proofErr w:type="spellEnd"/>
      <w:r>
        <w:rPr>
          <w:rFonts w:ascii="Arial" w:hAnsi="Arial" w:cs="Arial"/>
          <w:sz w:val="22"/>
          <w:szCs w:val="22"/>
        </w:rPr>
        <w:t>, involucrados en él, poseer los conocimientos  generales para realizar el proceso de</w:t>
      </w:r>
      <w:r>
        <w:rPr>
          <w:rFonts w:ascii="Arial" w:hAnsi="Arial" w:cs="Arial"/>
          <w:sz w:val="22"/>
          <w:szCs w:val="22"/>
        </w:rPr>
        <w:t xml:space="preserve"> archivo, de todos y cada uno de los documentos, tanto internos como externos que se procesen dentro de la organización; darles el tramite respectivo y hacerle su seguimiento hasta que este sea clasificado finalmente como archivo activo o inactivo.</w:t>
      </w:r>
    </w:p>
    <w:p w:rsidR="003364B1" w:rsidRDefault="003364B1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364B1" w:rsidRDefault="00217836">
      <w:pPr>
        <w:pStyle w:val="Textoindependiente"/>
        <w:numPr>
          <w:ilvl w:val="0"/>
          <w:numId w:val="2"/>
        </w:num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ALCAN</w:t>
      </w:r>
      <w:r>
        <w:rPr>
          <w:rFonts w:ascii="Arial" w:hAnsi="Arial" w:cs="Arial"/>
          <w:b/>
          <w:sz w:val="22"/>
          <w:szCs w:val="22"/>
        </w:rPr>
        <w:t>CE</w:t>
      </w:r>
    </w:p>
    <w:p w:rsidR="003364B1" w:rsidRDefault="003364B1">
      <w:pPr>
        <w:pStyle w:val="Textoindependiente"/>
        <w:ind w:left="360"/>
        <w:contextualSpacing/>
        <w:rPr>
          <w:rFonts w:ascii="Arial" w:hAnsi="Arial" w:cs="Arial"/>
          <w:b/>
          <w:sz w:val="22"/>
          <w:szCs w:val="22"/>
        </w:rPr>
      </w:pPr>
    </w:p>
    <w:p w:rsidR="003364B1" w:rsidRDefault="00217836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Desde el surgimiento del documento, análisis, publicación y posterior archivo, teniendo como referencia el presente Manual de procedimiento de Archivo y documentación.</w:t>
      </w:r>
    </w:p>
    <w:p w:rsidR="003364B1" w:rsidRDefault="003364B1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364B1" w:rsidRDefault="00217836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3.  DEFINICIONES</w:t>
      </w:r>
    </w:p>
    <w:p w:rsidR="003364B1" w:rsidRDefault="0021783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MX"/>
        </w:rPr>
        <w:t>3.1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 xml:space="preserve">.  </w:t>
      </w:r>
      <w:r>
        <w:rPr>
          <w:rFonts w:ascii="Arial" w:hAnsi="Arial" w:cs="Arial"/>
          <w:b/>
          <w:bCs/>
          <w:sz w:val="22"/>
          <w:szCs w:val="22"/>
        </w:rPr>
        <w:t>Cliente</w:t>
      </w:r>
      <w:proofErr w:type="gramEnd"/>
      <w:r>
        <w:rPr>
          <w:rFonts w:ascii="Arial" w:hAnsi="Arial" w:cs="Arial"/>
          <w:b/>
          <w:bCs/>
          <w:sz w:val="22"/>
          <w:szCs w:val="22"/>
        </w:rPr>
        <w:t>.</w:t>
      </w:r>
    </w:p>
    <w:p w:rsidR="003364B1" w:rsidRDefault="003364B1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3364B1" w:rsidRDefault="002178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Organización, entidad   o   persona que recibe </w:t>
      </w:r>
      <w:proofErr w:type="gramStart"/>
      <w:r>
        <w:rPr>
          <w:rFonts w:ascii="Arial" w:hAnsi="Arial" w:cs="Arial"/>
          <w:sz w:val="22"/>
          <w:szCs w:val="22"/>
        </w:rPr>
        <w:t xml:space="preserve">un </w:t>
      </w:r>
      <w:r>
        <w:rPr>
          <w:rFonts w:ascii="Arial" w:hAnsi="Arial" w:cs="Arial"/>
          <w:sz w:val="22"/>
          <w:szCs w:val="22"/>
        </w:rPr>
        <w:t xml:space="preserve"> producto</w:t>
      </w:r>
      <w:proofErr w:type="gramEnd"/>
      <w:r>
        <w:rPr>
          <w:rFonts w:ascii="Arial" w:hAnsi="Arial" w:cs="Arial"/>
          <w:sz w:val="22"/>
          <w:szCs w:val="22"/>
        </w:rPr>
        <w:t xml:space="preserve"> y/o servicio. Para efectos de la norma </w:t>
      </w:r>
      <w:proofErr w:type="spellStart"/>
      <w:r>
        <w:rPr>
          <w:rFonts w:ascii="Arial" w:hAnsi="Arial" w:cs="Arial"/>
          <w:sz w:val="22"/>
          <w:szCs w:val="22"/>
        </w:rPr>
        <w:t>NTCGP</w:t>
      </w:r>
      <w:proofErr w:type="spellEnd"/>
      <w:r>
        <w:rPr>
          <w:rFonts w:ascii="Arial" w:hAnsi="Arial" w:cs="Arial"/>
          <w:sz w:val="22"/>
          <w:szCs w:val="22"/>
        </w:rPr>
        <w:t xml:space="preserve"> 1000/2009 y de conformidad con la ley 872 de 2003, el termino cliente incluye a los destinatarios, usuarios y beneficiarios.</w:t>
      </w:r>
    </w:p>
    <w:p w:rsidR="003364B1" w:rsidRDefault="003364B1">
      <w:pPr>
        <w:jc w:val="both"/>
        <w:rPr>
          <w:rFonts w:ascii="Arial" w:hAnsi="Arial" w:cs="Arial"/>
          <w:b/>
          <w:sz w:val="22"/>
          <w:szCs w:val="22"/>
        </w:rPr>
      </w:pPr>
    </w:p>
    <w:p w:rsidR="003364B1" w:rsidRDefault="00217836">
      <w:p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3.2 Archivo.</w:t>
      </w:r>
    </w:p>
    <w:p w:rsidR="003364B1" w:rsidRDefault="003364B1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3364B1" w:rsidRDefault="00217836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Conjunto de documentos, sea cual fuere su fecha, forma y sopo</w:t>
      </w:r>
      <w:r>
        <w:rPr>
          <w:rFonts w:ascii="Arial" w:hAnsi="Arial" w:cs="Arial"/>
          <w:color w:val="000000"/>
          <w:sz w:val="22"/>
          <w:szCs w:val="22"/>
        </w:rPr>
        <w:t>rte material, acumulado en un proceso natural por una persona o entidad pública o privada, en el transcurso de su gestión, conservados respetando aquel orden para servir como testimonio e información a la persona o institución que los produce y a los ciuda</w:t>
      </w:r>
      <w:r>
        <w:rPr>
          <w:rFonts w:ascii="Arial" w:hAnsi="Arial" w:cs="Arial"/>
          <w:color w:val="000000"/>
          <w:sz w:val="22"/>
          <w:szCs w:val="22"/>
        </w:rPr>
        <w:t>danos o como fuente de la historia.</w:t>
      </w:r>
    </w:p>
    <w:p w:rsidR="003364B1" w:rsidRDefault="003364B1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364B1" w:rsidRDefault="00217836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3.3. Internet.</w:t>
      </w:r>
    </w:p>
    <w:p w:rsidR="003364B1" w:rsidRDefault="003364B1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364B1" w:rsidRDefault="00217836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Red mundial de redes de ordenadores que permiten a estos comunicarse de forma casi directa, transparente y compartiendo información y servicios.</w:t>
      </w:r>
    </w:p>
    <w:p w:rsidR="003364B1" w:rsidRDefault="003364B1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364B1" w:rsidRDefault="00217836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3.4. Información.</w:t>
      </w:r>
    </w:p>
    <w:p w:rsidR="003364B1" w:rsidRDefault="003364B1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364B1" w:rsidRDefault="00217836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 el conjunto de datos que están orga</w:t>
      </w:r>
      <w:r>
        <w:rPr>
          <w:rFonts w:ascii="Arial" w:hAnsi="Arial" w:cs="Arial"/>
          <w:color w:val="000000"/>
          <w:sz w:val="22"/>
          <w:szCs w:val="22"/>
        </w:rPr>
        <w:t>nizados y que tienen un significado. De esta manera, si tomamos datos por separado no tendrían un significado mientras que si los agrupamos en forma organizada, sí.</w:t>
      </w:r>
    </w:p>
    <w:p w:rsidR="003364B1" w:rsidRDefault="003364B1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364B1" w:rsidRDefault="00217836">
      <w:pPr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3.3. Documento.</w:t>
      </w:r>
    </w:p>
    <w:p w:rsidR="003364B1" w:rsidRDefault="003364B1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364B1" w:rsidRDefault="00217836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</w:t>
      </w:r>
      <w:r>
        <w:rPr>
          <w:rFonts w:ascii="Arial" w:hAnsi="Arial" w:cs="Arial"/>
          <w:bCs/>
          <w:sz w:val="22"/>
          <w:szCs w:val="22"/>
        </w:rPr>
        <w:t>documento</w:t>
      </w:r>
      <w:r>
        <w:rPr>
          <w:rFonts w:ascii="Arial" w:hAnsi="Arial" w:cs="Arial"/>
          <w:sz w:val="22"/>
          <w:szCs w:val="22"/>
        </w:rPr>
        <w:t xml:space="preserve"> es un testimonio material de un hecho o acto realizado en el</w:t>
      </w:r>
      <w:r>
        <w:rPr>
          <w:rFonts w:ascii="Arial" w:hAnsi="Arial" w:cs="Arial"/>
          <w:sz w:val="22"/>
          <w:szCs w:val="22"/>
        </w:rPr>
        <w:t xml:space="preserve"> ejercicio de sus funciones por instituciones o personas físicas, jurídicas, públicas o privadas, registrado en una unidad de información </w:t>
      </w:r>
      <w:proofErr w:type="gramStart"/>
      <w:r>
        <w:rPr>
          <w:rFonts w:ascii="Arial" w:hAnsi="Arial" w:cs="Arial"/>
          <w:sz w:val="22"/>
          <w:szCs w:val="22"/>
        </w:rPr>
        <w:t>en  cualquier</w:t>
      </w:r>
      <w:proofErr w:type="gramEnd"/>
      <w:r>
        <w:rPr>
          <w:rFonts w:ascii="Arial" w:hAnsi="Arial" w:cs="Arial"/>
          <w:sz w:val="22"/>
          <w:szCs w:val="22"/>
        </w:rPr>
        <w:t xml:space="preserve"> tipo de soporte (papel, cintas, discos magnéticos, fotografías, microfilmación, etc.) en  lengua natural</w:t>
      </w:r>
      <w:r>
        <w:rPr>
          <w:rFonts w:ascii="Arial" w:hAnsi="Arial" w:cs="Arial"/>
          <w:sz w:val="22"/>
          <w:szCs w:val="22"/>
        </w:rPr>
        <w:t xml:space="preserve"> o convencional. Es el testimonio de una actividad humana fijada en un soporte, dando lugar a una fuente archivística.</w:t>
      </w:r>
    </w:p>
    <w:p w:rsidR="003364B1" w:rsidRDefault="003364B1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3364B1" w:rsidRDefault="00217836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3.4 Expediente.</w:t>
      </w:r>
    </w:p>
    <w:p w:rsidR="003364B1" w:rsidRDefault="00217836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el conjunto de documentos relacionados con un asunto específico y que constituyen una unidad archivística. Estos son </w:t>
      </w:r>
      <w:r>
        <w:rPr>
          <w:rFonts w:ascii="Arial" w:hAnsi="Arial" w:cs="Arial"/>
          <w:sz w:val="22"/>
          <w:szCs w:val="22"/>
        </w:rPr>
        <w:t>generados en desarrollo de las funciones de una oficina productora. Un Expediente se encuentra conformado por varios cuadernos de acuerdo a las diferentes situaciones por las que atraviesa la Sociedad. (El cuaderno puede contener varias piezas documentales</w:t>
      </w:r>
      <w:r>
        <w:rPr>
          <w:rFonts w:ascii="Arial" w:hAnsi="Arial" w:cs="Arial"/>
          <w:sz w:val="22"/>
          <w:szCs w:val="22"/>
        </w:rPr>
        <w:t xml:space="preserve"> que lo determinan la naturaleza del proceso).</w:t>
      </w:r>
    </w:p>
    <w:p w:rsidR="003364B1" w:rsidRDefault="003364B1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21783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3.5. Procedimiento.</w:t>
      </w:r>
    </w:p>
    <w:p w:rsidR="003364B1" w:rsidRDefault="003364B1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bCs/>
        </w:rPr>
        <w:t>procedimiento</w:t>
      </w:r>
      <w:r>
        <w:rPr>
          <w:rFonts w:ascii="Arial" w:hAnsi="Arial" w:cs="Arial"/>
        </w:rPr>
        <w:t xml:space="preserve"> es un conjunto de acciones u operaciones que tienen que realizarse de la misma forma, para obtener siempre el mismo resultado bajo las mismas. </w:t>
      </w: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21783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3.6. Soporte documental.</w:t>
      </w:r>
    </w:p>
    <w:p w:rsidR="003364B1" w:rsidRDefault="003364B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Medios en los cuales se </w:t>
      </w:r>
      <w:proofErr w:type="gramStart"/>
      <w:r>
        <w:rPr>
          <w:rFonts w:ascii="Arial" w:hAnsi="Arial" w:cs="Arial"/>
          <w:sz w:val="22"/>
          <w:szCs w:val="22"/>
        </w:rPr>
        <w:t>contiene  la</w:t>
      </w:r>
      <w:proofErr w:type="gramEnd"/>
      <w:r>
        <w:rPr>
          <w:rFonts w:ascii="Arial" w:hAnsi="Arial" w:cs="Arial"/>
          <w:sz w:val="22"/>
          <w:szCs w:val="22"/>
        </w:rPr>
        <w:t xml:space="preserve"> información, según los materiales empleados. Además de los archivos en papel existen los archivos audiovisuales, fotográficos, fílmicos, informáticos, orales y sonoros. </w:t>
      </w:r>
    </w:p>
    <w:p w:rsidR="003364B1" w:rsidRDefault="0021783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>
        <w:rPr>
          <w:rFonts w:ascii="Arial" w:hAnsi="Arial" w:cs="Arial"/>
          <w:b/>
          <w:sz w:val="22"/>
          <w:szCs w:val="22"/>
          <w:lang w:val="es-MX"/>
        </w:rPr>
        <w:t>.7. Trazabilidad.</w:t>
      </w:r>
    </w:p>
    <w:p w:rsidR="003364B1" w:rsidRDefault="003364B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217836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Hace </w:t>
      </w:r>
      <w:proofErr w:type="gramStart"/>
      <w:r>
        <w:rPr>
          <w:rFonts w:ascii="Arial" w:hAnsi="Arial" w:cs="Arial"/>
          <w:sz w:val="22"/>
          <w:szCs w:val="22"/>
        </w:rPr>
        <w:t>referencia  a</w:t>
      </w:r>
      <w:proofErr w:type="gramEnd"/>
      <w:r>
        <w:rPr>
          <w:rFonts w:ascii="Arial" w:hAnsi="Arial" w:cs="Arial"/>
          <w:sz w:val="22"/>
          <w:szCs w:val="22"/>
        </w:rPr>
        <w:t xml:space="preserve"> la capaci</w:t>
      </w:r>
      <w:r>
        <w:rPr>
          <w:rFonts w:ascii="Arial" w:hAnsi="Arial" w:cs="Arial"/>
          <w:sz w:val="22"/>
          <w:szCs w:val="22"/>
        </w:rPr>
        <w:t>dad para seguir la historia, la aplicación o localización de todos aquellos documentos y registros que están bajo control y los que se generen en los diferentes procesos administrativos o de cualquier índole.</w:t>
      </w:r>
    </w:p>
    <w:p w:rsidR="003364B1" w:rsidRDefault="003364B1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3.8. Archivo Central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 la unidad administrati</w:t>
      </w:r>
      <w:r>
        <w:rPr>
          <w:rFonts w:ascii="Arial" w:hAnsi="Arial" w:cs="Arial"/>
          <w:sz w:val="22"/>
          <w:szCs w:val="22"/>
          <w:lang w:val="es-MX"/>
        </w:rPr>
        <w:t>va en donde se agrupan los documentos transferidos, una vez terminado su trámite y tiempo de retención en los diferentes archivos de gestión de la entidad, pero que siguen siendo vigentes y objeto de consulta por las propias dependencias y los particulares</w:t>
      </w:r>
      <w:r>
        <w:rPr>
          <w:rFonts w:ascii="Arial" w:hAnsi="Arial" w:cs="Arial"/>
          <w:sz w:val="22"/>
          <w:szCs w:val="22"/>
          <w:lang w:val="es-MX"/>
        </w:rPr>
        <w:t xml:space="preserve"> en general.</w:t>
      </w:r>
    </w:p>
    <w:p w:rsidR="003364B1" w:rsidRDefault="00217836">
      <w:pPr>
        <w:spacing w:beforeAutospacing="1" w:afterAutospacing="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4. RESPONSABLES.</w:t>
      </w:r>
    </w:p>
    <w:p w:rsidR="003364B1" w:rsidRDefault="00217836">
      <w:pPr>
        <w:pStyle w:val="Ttulo4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Los responsables del proceso de archivo, están </w:t>
      </w:r>
      <w:proofErr w:type="gramStart"/>
      <w:r>
        <w:rPr>
          <w:rFonts w:ascii="Arial" w:hAnsi="Arial" w:cs="Arial"/>
          <w:b w:val="0"/>
          <w:sz w:val="22"/>
          <w:szCs w:val="22"/>
        </w:rPr>
        <w:t>determinados  en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la organización, por la generación y  manejo de los diferentes documentos y el grado de responsabilidad, por parte del funcionario. De acuerdo al proceso de autor</w:t>
      </w:r>
      <w:r>
        <w:rPr>
          <w:rFonts w:ascii="Arial" w:hAnsi="Arial" w:cs="Arial"/>
          <w:b w:val="0"/>
          <w:sz w:val="22"/>
          <w:szCs w:val="22"/>
        </w:rPr>
        <w:t>idad principal a la que se le delega mayor grado de responsabilidad en la Cámara de Comercio, es al Auxiliar en Archivo. También por el tipo de actividad e informes que se manejan de acuerdo a los diferentes procesos internos dentro de la organización, los</w:t>
      </w:r>
      <w:r>
        <w:rPr>
          <w:rFonts w:ascii="Arial" w:hAnsi="Arial" w:cs="Arial"/>
          <w:b w:val="0"/>
          <w:sz w:val="22"/>
          <w:szCs w:val="22"/>
        </w:rPr>
        <w:t xml:space="preserve"> funcionarios y contratistas de la Cámara de Comercio, son responsables de velar por la integridad, autenticidad, veracidad y salvaguarda la información contenida en las bases de datos y de los sistemas de comunicaciones y archivo de la entidad.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5. PROCED</w:t>
      </w:r>
      <w:r>
        <w:rPr>
          <w:rFonts w:ascii="Arial" w:hAnsi="Arial" w:cs="Arial"/>
          <w:b/>
          <w:sz w:val="22"/>
          <w:szCs w:val="22"/>
          <w:lang w:val="es-MX"/>
        </w:rPr>
        <w:t xml:space="preserve">IMIENTO DE </w:t>
      </w:r>
      <w:proofErr w:type="spellStart"/>
      <w:r>
        <w:rPr>
          <w:rFonts w:ascii="Arial" w:hAnsi="Arial" w:cs="Arial"/>
          <w:b/>
          <w:sz w:val="22"/>
          <w:szCs w:val="22"/>
          <w:lang w:val="es-MX"/>
        </w:rPr>
        <w:t>PRODUCCION</w:t>
      </w:r>
      <w:proofErr w:type="spellEnd"/>
      <w:r>
        <w:rPr>
          <w:rFonts w:ascii="Arial" w:hAnsi="Arial" w:cs="Arial"/>
          <w:b/>
          <w:sz w:val="22"/>
          <w:szCs w:val="22"/>
          <w:lang w:val="es-MX"/>
        </w:rPr>
        <w:t xml:space="preserve"> DOCUMENTAL</w:t>
      </w: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La organización, administración, conservación, transferencia de los archivos y la documentación generada y recibida en las diferentes dependencias de la entidad, es responsabilidad de cada una de ellas y el funcionario </w:t>
      </w:r>
      <w:r>
        <w:rPr>
          <w:rFonts w:ascii="Arial" w:hAnsi="Arial" w:cs="Arial"/>
          <w:sz w:val="22"/>
          <w:szCs w:val="22"/>
          <w:lang w:val="es-MX"/>
        </w:rPr>
        <w:t xml:space="preserve">asignado como responsable de su manejo y control. Estos documentos hacen </w:t>
      </w:r>
      <w:proofErr w:type="gramStart"/>
      <w:r>
        <w:rPr>
          <w:rFonts w:ascii="Arial" w:hAnsi="Arial" w:cs="Arial"/>
          <w:sz w:val="22"/>
          <w:szCs w:val="22"/>
          <w:lang w:val="es-MX"/>
        </w:rPr>
        <w:t>parte  del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Patrimonio Documental de la entidad, generan la obligación a los funcionarios responsables de su manejo, de recibirlos y </w:t>
      </w:r>
      <w:r>
        <w:rPr>
          <w:rFonts w:ascii="Arial" w:hAnsi="Arial" w:cs="Arial"/>
          <w:sz w:val="22"/>
          <w:szCs w:val="22"/>
          <w:lang w:val="es-MX"/>
        </w:rPr>
        <w:lastRenderedPageBreak/>
        <w:t xml:space="preserve">entregarlos debidamente inventariados, además este </w:t>
      </w:r>
      <w:r>
        <w:rPr>
          <w:rFonts w:ascii="Arial" w:hAnsi="Arial" w:cs="Arial"/>
          <w:sz w:val="22"/>
          <w:szCs w:val="22"/>
          <w:lang w:val="es-MX"/>
        </w:rPr>
        <w:t>inventario debe ser actualizado periódicamente.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Los archivos de gestión, deberán organizarse de acuerdo con las Tablas de Retención Documental e implementado por el acuerdo N° 042 del 2002 del Consejo Directivo del Archivo General de la Nación.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6. ARCHIVO</w:t>
      </w:r>
      <w:r>
        <w:rPr>
          <w:rFonts w:ascii="Arial" w:hAnsi="Arial" w:cs="Arial"/>
          <w:b/>
          <w:sz w:val="22"/>
          <w:szCs w:val="22"/>
          <w:lang w:val="es-MX"/>
        </w:rPr>
        <w:t>S DE GESTIÓN.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Los documentos internos de las dependencias de la entidad sometidos a continua utilización y consulta, tales como informes, estudios, proyectos, oficios, memorandos, comunicaciones recibidas de otras entidades etc., se deben archivar en sus </w:t>
      </w:r>
      <w:r>
        <w:rPr>
          <w:rFonts w:ascii="Arial" w:hAnsi="Arial" w:cs="Arial"/>
          <w:sz w:val="22"/>
          <w:szCs w:val="22"/>
          <w:lang w:val="es-MX"/>
        </w:rPr>
        <w:t>respectivos carpetas, debidamente identificadas con el tema correspondiente, según lo establecido por la Ley 594 de 2000 e implementada con el Acuerdo No. 042 de Octubre 31 de 2002 del Consejo Directivo del Archivo General de la Nación, establecen los crit</w:t>
      </w:r>
      <w:r>
        <w:rPr>
          <w:rFonts w:ascii="Arial" w:hAnsi="Arial" w:cs="Arial"/>
          <w:sz w:val="22"/>
          <w:szCs w:val="22"/>
          <w:lang w:val="es-MX"/>
        </w:rPr>
        <w:t>erios para la organización de los archivos de gestión en las entidades públicas y privadas.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Para los rótulos de identificación del Archivo de Gestión a parte de los parámetros generales se debe tener en cuenta lo siguiente:</w:t>
      </w:r>
    </w:p>
    <w:p w:rsidR="003364B1" w:rsidRDefault="0021783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Cada año deberán abrirse las car</w:t>
      </w:r>
      <w:r>
        <w:rPr>
          <w:rFonts w:ascii="Arial" w:hAnsi="Arial" w:cs="Arial"/>
          <w:sz w:val="22"/>
          <w:szCs w:val="22"/>
          <w:lang w:val="es-MX"/>
        </w:rPr>
        <w:t>petas utilizando como principio básico de creación, la estructura orgánica de la entidad.</w:t>
      </w:r>
    </w:p>
    <w:p w:rsidR="003364B1" w:rsidRDefault="0021783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Distribuir las series documentales en las gavetas, estantes atendiendo al orden de codificación establecido; es decir, en forma ascendente, como se encuentran en la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s-MX"/>
        </w:rPr>
        <w:t>T</w:t>
      </w:r>
      <w:r>
        <w:rPr>
          <w:rFonts w:ascii="Arial" w:hAnsi="Arial" w:cs="Arial"/>
          <w:sz w:val="22"/>
          <w:szCs w:val="22"/>
          <w:lang w:val="es-MX"/>
        </w:rPr>
        <w:t>RD</w:t>
      </w:r>
      <w:proofErr w:type="spellEnd"/>
      <w:r>
        <w:rPr>
          <w:rFonts w:ascii="Arial" w:hAnsi="Arial" w:cs="Arial"/>
          <w:sz w:val="22"/>
          <w:szCs w:val="22"/>
          <w:lang w:val="es-MX"/>
        </w:rPr>
        <w:t>(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Tabla de Retención Documental). Igualmente, en el vértice superior derecho de </w:t>
      </w:r>
      <w:proofErr w:type="gramStart"/>
      <w:r>
        <w:rPr>
          <w:rFonts w:ascii="Arial" w:hAnsi="Arial" w:cs="Arial"/>
          <w:sz w:val="22"/>
          <w:szCs w:val="22"/>
          <w:lang w:val="es-MX"/>
        </w:rPr>
        <w:t>la  gaveta</w:t>
      </w:r>
      <w:proofErr w:type="gramEnd"/>
      <w:r>
        <w:rPr>
          <w:rFonts w:ascii="Arial" w:hAnsi="Arial" w:cs="Arial"/>
          <w:sz w:val="22"/>
          <w:szCs w:val="22"/>
          <w:lang w:val="es-MX"/>
        </w:rPr>
        <w:t>, adherir una cartulina con la descripción de las series y expedientes que allí se encuentran.</w:t>
      </w:r>
    </w:p>
    <w:p w:rsidR="003364B1" w:rsidRDefault="0021783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Ubicar al interior de cada carpeta, sólo los documentos cuyo asunto pe</w:t>
      </w:r>
      <w:r>
        <w:rPr>
          <w:rFonts w:ascii="Arial" w:hAnsi="Arial" w:cs="Arial"/>
          <w:sz w:val="22"/>
          <w:szCs w:val="22"/>
          <w:lang w:val="es-MX"/>
        </w:rPr>
        <w:t>rtenece exclusivamente a la respectiva serie documental, ordenados en forma ascendente atendiendo al orden natural en que fueron elaborados.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 PROCEDIMIENTO PARA EL MANEJO DEL ARCHIVO INSTITUCIONAL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7.1 Clasificación de los Documentos.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lastRenderedPageBreak/>
        <w:t xml:space="preserve">Los documentos de </w:t>
      </w:r>
      <w:r>
        <w:rPr>
          <w:rFonts w:ascii="Arial" w:hAnsi="Arial" w:cs="Arial"/>
          <w:sz w:val="22"/>
          <w:szCs w:val="22"/>
          <w:lang w:val="es-MX"/>
        </w:rPr>
        <w:t>archivo tienen su origen en las oficinas productoras en razón de unas funciones específicas o en cumplimiento de unas actividades. Allí adquieren como producto de su trámite, valores como administrativo, fiscal, legal, contable o técnico que hacen del docu</w:t>
      </w:r>
      <w:r>
        <w:rPr>
          <w:rFonts w:ascii="Arial" w:hAnsi="Arial" w:cs="Arial"/>
          <w:sz w:val="22"/>
          <w:szCs w:val="22"/>
          <w:lang w:val="es-MX"/>
        </w:rPr>
        <w:t>mento un instrumento de información de importancia para la toma de decisiones y para servir como fuente testimonial de la misión propia de la entidad que los genera.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Todos los documentos recibidos o producidos por la entidad, una vez que se han archivado c</w:t>
      </w:r>
      <w:r>
        <w:rPr>
          <w:rFonts w:ascii="Arial" w:hAnsi="Arial" w:cs="Arial"/>
          <w:sz w:val="22"/>
          <w:szCs w:val="22"/>
          <w:lang w:val="es-MX"/>
        </w:rPr>
        <w:t>ronológica y secuencialmente en las carpetas correspondientes, según el caso, deben tener una clasificación temática y una organización en la conformación de los diferentes cuadernos del expediente que, en razón a las necesidades y funciones, haya que abri</w:t>
      </w:r>
      <w:r>
        <w:rPr>
          <w:rFonts w:ascii="Arial" w:hAnsi="Arial" w:cs="Arial"/>
          <w:sz w:val="22"/>
          <w:szCs w:val="22"/>
          <w:lang w:val="es-MX"/>
        </w:rPr>
        <w:t>r.</w:t>
      </w: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7.2Identificación de los documentos.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Indistintamente, todos los documentos manejados por la entidad deben contener información referente a la procedencia, nombre o razón social, Nit, número de expediente, destino, número de radicación y fecha. Así mismo</w:t>
      </w:r>
      <w:r>
        <w:rPr>
          <w:rFonts w:ascii="Arial" w:hAnsi="Arial" w:cs="Arial"/>
          <w:sz w:val="22"/>
          <w:szCs w:val="22"/>
          <w:lang w:val="es-MX"/>
        </w:rPr>
        <w:t xml:space="preserve">, todos los documentos producidos por la entidad deben contar con las iniciales de los ponentes y el código de la dependencia que lo genera además se registrara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T.R.D</w:t>
      </w:r>
      <w:proofErr w:type="spellEnd"/>
      <w:r>
        <w:rPr>
          <w:rFonts w:ascii="Arial" w:hAnsi="Arial" w:cs="Arial"/>
          <w:sz w:val="22"/>
          <w:szCs w:val="22"/>
          <w:lang w:val="es-MX"/>
        </w:rPr>
        <w:t>. (Tipo de Expediente, proceso, o carpeta de Gestión).</w:t>
      </w: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7.3. Foliado de documentos.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Los doc</w:t>
      </w:r>
      <w:r>
        <w:rPr>
          <w:rFonts w:ascii="Arial" w:hAnsi="Arial" w:cs="Arial"/>
          <w:sz w:val="22"/>
          <w:szCs w:val="22"/>
          <w:lang w:val="es-MX"/>
        </w:rPr>
        <w:t>umentos que conforman los diferentes tipos de expedientes que maneja la entidad, en desarrollo de sus funciones, deberán ser foliados bajo las siguientes recomendaciones:</w:t>
      </w:r>
    </w:p>
    <w:p w:rsidR="003364B1" w:rsidRDefault="0021783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Verificar que los documentos correspondan al tipo de cuaderno o Serie Documental Que </w:t>
      </w:r>
      <w:r>
        <w:rPr>
          <w:rFonts w:ascii="Arial" w:hAnsi="Arial" w:cs="Arial"/>
          <w:sz w:val="22"/>
          <w:szCs w:val="22"/>
          <w:lang w:val="es-MX"/>
        </w:rPr>
        <w:t>Conserven el orden cronológico y secuencial.</w:t>
      </w:r>
    </w:p>
    <w:p w:rsidR="003364B1" w:rsidRDefault="0021783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Procurar que no contengan copias de documentos repetidos.</w:t>
      </w:r>
    </w:p>
    <w:p w:rsidR="003364B1" w:rsidRDefault="0021783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Los Ganchos metálicos deben ser retirados una vez foliado los documentos para evitar el deterioro de los mismos a causa del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oxido</w:t>
      </w:r>
      <w:proofErr w:type="spellEnd"/>
      <w:r>
        <w:rPr>
          <w:rFonts w:ascii="Arial" w:hAnsi="Arial" w:cs="Arial"/>
          <w:sz w:val="22"/>
          <w:szCs w:val="22"/>
          <w:lang w:val="es-MX"/>
        </w:rPr>
        <w:t>.</w:t>
      </w:r>
    </w:p>
    <w:p w:rsidR="003364B1" w:rsidRDefault="0021783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Cada Cuaderno debe con</w:t>
      </w:r>
      <w:r>
        <w:rPr>
          <w:rFonts w:ascii="Arial" w:hAnsi="Arial" w:cs="Arial"/>
          <w:sz w:val="22"/>
          <w:szCs w:val="22"/>
          <w:lang w:val="es-MX"/>
        </w:rPr>
        <w:t>tener una planilla de control de foliado en la cual se registrará la fecha de la actualización, la cantidad parcial y total de folios y el nombre del funcionario responsable.</w:t>
      </w: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7.4. Digitalización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Después de los procesos anteriores el documento se microfilma</w:t>
      </w:r>
      <w:r>
        <w:rPr>
          <w:rFonts w:ascii="Arial" w:hAnsi="Arial" w:cs="Arial"/>
          <w:sz w:val="22"/>
          <w:szCs w:val="22"/>
          <w:lang w:val="es-MX"/>
        </w:rPr>
        <w:t xml:space="preserve"> para su debida digitalización, lo cual se hace a través de un software llamado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DOCUMASTER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que es utilizado en toda las dependencias de la entidad, donde el usuario puede tener acceso a la información de registros públicos y demás documentación que allí se</w:t>
      </w:r>
      <w:r>
        <w:rPr>
          <w:rFonts w:ascii="Arial" w:hAnsi="Arial" w:cs="Arial"/>
          <w:sz w:val="22"/>
          <w:szCs w:val="22"/>
          <w:lang w:val="es-MX"/>
        </w:rPr>
        <w:t xml:space="preserve"> encuentre de acuerdo </w:t>
      </w:r>
      <w:r>
        <w:rPr>
          <w:rFonts w:ascii="Arial" w:hAnsi="Arial" w:cs="Arial"/>
          <w:sz w:val="22"/>
          <w:szCs w:val="22"/>
          <w:lang w:val="es-MX"/>
        </w:rPr>
        <w:lastRenderedPageBreak/>
        <w:t xml:space="preserve">a la necesidad del momento, Se utiliza como consulta y en unas áreas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especificas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obtener copias de dichos documentos.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7.5 Ubicación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Los documentos se ubican en el expediente correspondiente, para luego ser llevado a </w:t>
      </w:r>
      <w:proofErr w:type="gramStart"/>
      <w:r>
        <w:rPr>
          <w:rFonts w:ascii="Arial" w:hAnsi="Arial" w:cs="Arial"/>
          <w:sz w:val="22"/>
          <w:szCs w:val="22"/>
          <w:lang w:val="es-MX"/>
        </w:rPr>
        <w:t>un  libro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y ca</w:t>
      </w:r>
      <w:r>
        <w:rPr>
          <w:rFonts w:ascii="Arial" w:hAnsi="Arial" w:cs="Arial"/>
          <w:sz w:val="22"/>
          <w:szCs w:val="22"/>
          <w:lang w:val="es-MX"/>
        </w:rPr>
        <w:t>ja con su número respectivo para su conservación.</w:t>
      </w:r>
    </w:p>
    <w:p w:rsidR="003364B1" w:rsidRDefault="003364B1">
      <w:pPr>
        <w:pStyle w:val="Prrafodelista"/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8. SISTEMA DE PRÉSTAMO DE EXPEDIENTES.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El sistema de préstamo de expedientes de la Entidad funciona a través de la planilla control de préstamo y consulta de documentos (ver formato CCMRRE-10). Funciona a</w:t>
      </w:r>
      <w:r>
        <w:rPr>
          <w:rFonts w:ascii="Arial" w:hAnsi="Arial" w:cs="Arial"/>
          <w:sz w:val="22"/>
          <w:szCs w:val="22"/>
          <w:lang w:val="es-MX"/>
        </w:rPr>
        <w:t xml:space="preserve"> través de un aplicativo del sistema de Gestión Documental, liderado por el Sistema </w:t>
      </w:r>
      <w:proofErr w:type="gramStart"/>
      <w:r>
        <w:rPr>
          <w:rFonts w:ascii="Arial" w:hAnsi="Arial" w:cs="Arial"/>
          <w:sz w:val="22"/>
          <w:szCs w:val="22"/>
          <w:lang w:val="es-MX"/>
        </w:rPr>
        <w:t>de  gestión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de Calidad (</w:t>
      </w:r>
      <w:proofErr w:type="spellStart"/>
      <w:r>
        <w:rPr>
          <w:rFonts w:ascii="Arial" w:hAnsi="Arial" w:cs="Arial"/>
          <w:sz w:val="22"/>
          <w:szCs w:val="22"/>
          <w:lang w:val="es-MX"/>
        </w:rPr>
        <w:t>SGC</w:t>
      </w:r>
      <w:proofErr w:type="spellEnd"/>
      <w:r>
        <w:rPr>
          <w:rFonts w:ascii="Arial" w:hAnsi="Arial" w:cs="Arial"/>
          <w:sz w:val="22"/>
          <w:szCs w:val="22"/>
          <w:lang w:val="es-MX"/>
        </w:rPr>
        <w:t>) y utilizado por los diferentes procesos de la Entidad que requieren del préstamo diario de expedientes.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El objetivo de este sistema es facilita</w:t>
      </w:r>
      <w:r>
        <w:rPr>
          <w:rFonts w:ascii="Arial" w:hAnsi="Arial" w:cs="Arial"/>
          <w:sz w:val="22"/>
          <w:szCs w:val="22"/>
          <w:lang w:val="es-MX"/>
        </w:rPr>
        <w:t>r el manejo y circulación de los expedientes contribuyendo así con la agilización de los diferentes tramites que lleva a cabo cada área, brindándole una mayor seguridad a los documentos y garantizando el buen uso de los mismos además de registrar la audito</w:t>
      </w:r>
      <w:r>
        <w:rPr>
          <w:rFonts w:ascii="Arial" w:hAnsi="Arial" w:cs="Arial"/>
          <w:sz w:val="22"/>
          <w:szCs w:val="22"/>
          <w:lang w:val="es-MX"/>
        </w:rPr>
        <w:t>ria y accesibilidad.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9. TRANSFERENCIA DOCUMENTALES AL ARCHIVO CENTRAL.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• Cuando sean documentos de la serie documental Expedientes, deberá observarse lo siguiente: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• Que los documentos hayan cumplido su ciclo de gestión y terminado su trámite respectivo, </w:t>
      </w:r>
      <w:r>
        <w:rPr>
          <w:rFonts w:ascii="Arial" w:hAnsi="Arial" w:cs="Arial"/>
          <w:sz w:val="22"/>
          <w:szCs w:val="22"/>
          <w:lang w:val="es-MX"/>
        </w:rPr>
        <w:t>conforme a lo establecido en las Tablas de Retención Documental.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• </w:t>
      </w:r>
      <w:proofErr w:type="gramStart"/>
      <w:r>
        <w:rPr>
          <w:rFonts w:ascii="Arial" w:hAnsi="Arial" w:cs="Arial"/>
          <w:sz w:val="22"/>
          <w:szCs w:val="22"/>
          <w:lang w:val="es-MX"/>
        </w:rPr>
        <w:t>Entregar  en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la Planilla de Control entrega y recibido de registros para archivo central(ver formato CCMRRE-22), donde debe relacionarse una a una la totalidad de unidades archivísticas (re</w:t>
      </w:r>
      <w:r>
        <w:rPr>
          <w:rFonts w:ascii="Arial" w:hAnsi="Arial" w:cs="Arial"/>
          <w:sz w:val="22"/>
          <w:szCs w:val="22"/>
          <w:lang w:val="es-MX"/>
        </w:rPr>
        <w:t>gistros y actos mercantiles) con su identificación respectiva, número de matrícula, nombre de la entidad, etc.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lastRenderedPageBreak/>
        <w:t>• Firmar las planillas por parte del responsable de la documentación junto con el acta respectiva, donde conste la fecha, dependencia que hace la</w:t>
      </w:r>
      <w:r>
        <w:rPr>
          <w:rFonts w:ascii="Arial" w:hAnsi="Arial" w:cs="Arial"/>
          <w:sz w:val="22"/>
          <w:szCs w:val="22"/>
          <w:lang w:val="es-MX"/>
        </w:rPr>
        <w:t xml:space="preserve"> transferencia, los funcionarios que intervienen y el total de unidades documentales transferidas.</w:t>
      </w:r>
    </w:p>
    <w:p w:rsidR="003364B1" w:rsidRDefault="0021783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Una vez entregados los documentos, el Auxiliar en </w:t>
      </w:r>
      <w:proofErr w:type="gramStart"/>
      <w:r>
        <w:rPr>
          <w:rFonts w:ascii="Arial" w:hAnsi="Arial" w:cs="Arial"/>
          <w:sz w:val="22"/>
          <w:szCs w:val="22"/>
          <w:lang w:val="es-MX"/>
        </w:rPr>
        <w:t>archivo  verifica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las unidades documentales entregadas contra la relación, designa la ubicación de la docum</w:t>
      </w:r>
      <w:r>
        <w:rPr>
          <w:rFonts w:ascii="Arial" w:hAnsi="Arial" w:cs="Arial"/>
          <w:sz w:val="22"/>
          <w:szCs w:val="22"/>
          <w:lang w:val="es-MX"/>
        </w:rPr>
        <w:t>entación remitida en los estantes correspondientes.</w:t>
      </w:r>
    </w:p>
    <w:p w:rsidR="003364B1" w:rsidRDefault="0021783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Los documentos internos provenientes de otras dependencias son entregados al área de archivo a través del Formato Único de Inventario Documental (CCMRCM-5).</w:t>
      </w:r>
    </w:p>
    <w:p w:rsidR="003364B1" w:rsidRDefault="0021783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El Auxiliar en archivo de la </w:t>
      </w:r>
      <w:proofErr w:type="gramStart"/>
      <w:r>
        <w:rPr>
          <w:rFonts w:ascii="Arial" w:hAnsi="Arial" w:cs="Arial"/>
          <w:sz w:val="22"/>
          <w:szCs w:val="22"/>
          <w:lang w:val="es-MX"/>
        </w:rPr>
        <w:t>entidad  firmará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las planillas de transferencia y devuelve a la dependencia remitente, la copia debidamente firmada, la cual debe ser conservada para fines de consulta posterior. 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10. ELIMINACIÓN DE DOCUMENTOS.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Para la aplicac</w:t>
      </w:r>
      <w:r>
        <w:rPr>
          <w:rFonts w:ascii="Arial" w:hAnsi="Arial" w:cs="Arial"/>
          <w:sz w:val="22"/>
          <w:szCs w:val="22"/>
          <w:lang w:val="es-MX"/>
        </w:rPr>
        <w:t>ión del presente procedimiento, entiéndase por eliminación la destrucción de documentos que hayan perdido su valor administrativo, legal, fiscal o financiero y que carezcan de valor histórico o de relevancia para la ciencia y la tecnología.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Los documentos </w:t>
      </w:r>
      <w:r>
        <w:rPr>
          <w:rFonts w:ascii="Arial" w:hAnsi="Arial" w:cs="Arial"/>
          <w:sz w:val="22"/>
          <w:szCs w:val="22"/>
          <w:lang w:val="es-MX"/>
        </w:rPr>
        <w:t>originales que posean valores históricos no podrán ser destruidos, aun cuando hayan sido reproducidos o almacenados mediante cualquier medio de desarrollo tecnológico aprobado.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10.1 Proceso de eliminación.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Está ajustado en su realización a las pautas est</w:t>
      </w:r>
      <w:r>
        <w:rPr>
          <w:rFonts w:ascii="Arial" w:hAnsi="Arial" w:cs="Arial"/>
          <w:sz w:val="22"/>
          <w:szCs w:val="22"/>
          <w:lang w:val="es-MX"/>
        </w:rPr>
        <w:t>ablecidas por la Cámara de Comercio (teniendo en cuenta los parámetros del Código de Comercio) y el presente procedimiento, debe respetarse el resultado de la valoración documental, la cual está expresada en las Tablas de Retención Documental de la entidad</w:t>
      </w:r>
      <w:r>
        <w:rPr>
          <w:rFonts w:ascii="Arial" w:hAnsi="Arial" w:cs="Arial"/>
          <w:sz w:val="22"/>
          <w:szCs w:val="22"/>
          <w:lang w:val="es-MX"/>
        </w:rPr>
        <w:t>, y la aprobación del Comité Interno de Archivo de la Cámara de Comercio.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10.2. Autorización para la eliminación documental.</w:t>
      </w:r>
    </w:p>
    <w:p w:rsidR="003364B1" w:rsidRDefault="00217836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La autorización para la eliminación de documentos será responsabilidad del Comité </w:t>
      </w:r>
      <w:proofErr w:type="gramStart"/>
      <w:r>
        <w:rPr>
          <w:rFonts w:ascii="Arial" w:hAnsi="Arial" w:cs="Arial"/>
          <w:sz w:val="22"/>
          <w:szCs w:val="22"/>
          <w:lang w:val="es-MX"/>
        </w:rPr>
        <w:t>Interno  de</w:t>
      </w:r>
      <w:proofErr w:type="gramEnd"/>
      <w:r>
        <w:rPr>
          <w:rFonts w:ascii="Arial" w:hAnsi="Arial" w:cs="Arial"/>
          <w:sz w:val="22"/>
          <w:szCs w:val="22"/>
          <w:lang w:val="es-MX"/>
        </w:rPr>
        <w:t xml:space="preserve"> Archivo de la Cámara de Comercio, qu</w:t>
      </w:r>
      <w:r>
        <w:rPr>
          <w:rFonts w:ascii="Arial" w:hAnsi="Arial" w:cs="Arial"/>
          <w:sz w:val="22"/>
          <w:szCs w:val="22"/>
          <w:lang w:val="es-MX"/>
        </w:rPr>
        <w:t xml:space="preserve">ien da la aprobación correspondiente siempre y cuando esté ajustado a lo establecido en las Tablas de  Retención  Documental. Para cada </w:t>
      </w:r>
      <w:r>
        <w:rPr>
          <w:rFonts w:ascii="Arial" w:hAnsi="Arial" w:cs="Arial"/>
          <w:sz w:val="22"/>
          <w:szCs w:val="22"/>
          <w:lang w:val="es-MX"/>
        </w:rPr>
        <w:lastRenderedPageBreak/>
        <w:t>caso, es obligación levantar el acta de eliminación, la cual debe contener las firmas autorizadas.</w:t>
      </w: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pStyle w:val="Ttulo2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REGISTROS DE CALIDAD</w:t>
      </w:r>
      <w:r>
        <w:rPr>
          <w:rFonts w:ascii="Arial" w:hAnsi="Arial" w:cs="Arial"/>
          <w:sz w:val="22"/>
          <w:szCs w:val="22"/>
        </w:rPr>
        <w:t xml:space="preserve"> RELACIONADOS</w:t>
      </w:r>
    </w:p>
    <w:p w:rsidR="003364B1" w:rsidRDefault="003364B1">
      <w:pPr>
        <w:rPr>
          <w:lang w:val="es-MX"/>
        </w:rPr>
      </w:pPr>
    </w:p>
    <w:tbl>
      <w:tblPr>
        <w:tblW w:w="89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4394"/>
        <w:gridCol w:w="2386"/>
      </w:tblGrid>
      <w:tr w:rsidR="003364B1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364B1" w:rsidRDefault="002178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364B1" w:rsidRDefault="002178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364B1" w:rsidRDefault="002178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</w:tr>
      <w:tr w:rsidR="003364B1">
        <w:trPr>
          <w:trHeight w:val="40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CCMRRE-10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Planilla de control de préstamo y consulta de documentos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Auxiliar  en Archivo</w:t>
            </w:r>
          </w:p>
        </w:tc>
      </w:tr>
      <w:tr w:rsidR="003364B1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CCMRRE-22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Planilla de Control entrega y recibido de registros para archivo central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Auxiliar de registro en documento</w:t>
            </w:r>
          </w:p>
        </w:tc>
      </w:tr>
      <w:tr w:rsidR="003364B1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CCMRCM-5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Formato Único de Inventario Documental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Auxiliar  de Archivo</w:t>
            </w:r>
          </w:p>
        </w:tc>
      </w:tr>
    </w:tbl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12. ACTUALIZACIONES</w:t>
      </w:r>
    </w:p>
    <w:tbl>
      <w:tblPr>
        <w:tblW w:w="485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131"/>
        <w:gridCol w:w="5977"/>
      </w:tblGrid>
      <w:tr w:rsidR="003364B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FECHA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VERSION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ACTUALIZACIÓN EFECTUADA</w:t>
            </w:r>
          </w:p>
        </w:tc>
      </w:tr>
      <w:tr w:rsidR="003364B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25/09/2013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00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Creación del documento</w:t>
            </w:r>
          </w:p>
        </w:tc>
      </w:tr>
      <w:tr w:rsidR="003364B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13/09/2016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01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Se actualiza el documento en el numeral 9. Transferencias documentales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al archivo central, incluyendo el nuevo formato de inventario único documental (CCMRCM-5). También, se actualizaron los cargos de: Coordinadora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MX"/>
              </w:rPr>
              <w:t>CCS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por Directora de Gestión Administrativa y el Auxiliar de registro en archivo por Auxiliar de Archivo.</w:t>
            </w:r>
          </w:p>
        </w:tc>
      </w:tr>
      <w:tr w:rsidR="003364B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16/05/2017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02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Se actualiza el documento en su codificación CCMDCM-02 por CCMDGD-02, Se actualiza el ítem 3.1 Clientes modificando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MX"/>
              </w:rPr>
              <w:t>NTCGP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1000:2004 por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MX"/>
              </w:rPr>
              <w:t>NTCGP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1000:2009.</w:t>
            </w:r>
          </w:p>
        </w:tc>
      </w:tr>
      <w:tr w:rsidR="003364B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02/01/2018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03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21783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</w:rPr>
              <w:t>Se actualiza el documento cambiando el logo de la entidad.</w:t>
            </w:r>
          </w:p>
        </w:tc>
      </w:tr>
    </w:tbl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3364B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364B1" w:rsidRDefault="0021783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w:drawing>
          <wp:anchor distT="0" distB="0" distL="0" distR="0" simplePos="0" relativeHeight="26" behindDoc="0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739775</wp:posOffset>
            </wp:positionV>
            <wp:extent cx="1448435" cy="451485"/>
            <wp:effectExtent l="0" t="0" r="0" b="0"/>
            <wp:wrapNone/>
            <wp:docPr id="9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2419"/>
        <w:gridCol w:w="3138"/>
      </w:tblGrid>
      <w:tr w:rsidR="003364B1">
        <w:trPr>
          <w:cantSplit/>
          <w:trHeight w:val="299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3364B1" w:rsidRDefault="00217836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lastRenderedPageBreak/>
              <w:t>Realizó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Revisó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Aprobó</w:t>
            </w:r>
          </w:p>
        </w:tc>
      </w:tr>
      <w:tr w:rsidR="003364B1">
        <w:trPr>
          <w:cantSplit/>
          <w:trHeight w:val="50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3364B1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s-CO" w:eastAsia="es-CO"/>
              </w:rPr>
              <w:drawing>
                <wp:anchor distT="0" distB="0" distL="0" distR="0" simplePos="0" relativeHeight="25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-30480</wp:posOffset>
                  </wp:positionV>
                  <wp:extent cx="1691640" cy="807720"/>
                  <wp:effectExtent l="0" t="0" r="0" b="0"/>
                  <wp:wrapNone/>
                  <wp:docPr id="10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364B1" w:rsidRDefault="003364B1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3364B1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3364B1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Auxiliar  de Archivo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3364B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3364B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3364B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3364B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Directora Gestión Administrativa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B1" w:rsidRDefault="003364B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21783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s-CO" w:eastAsia="es-CO"/>
              </w:rPr>
              <w:drawing>
                <wp:anchor distT="0" distB="0" distL="0" distR="0" simplePos="0" relativeHeight="27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-22860</wp:posOffset>
                  </wp:positionV>
                  <wp:extent cx="1176655" cy="1017270"/>
                  <wp:effectExtent l="0" t="0" r="0" b="0"/>
                  <wp:wrapNone/>
                  <wp:docPr id="11" name="Imag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364B1" w:rsidRDefault="003364B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3364B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3364B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364B1" w:rsidRDefault="0021783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Presidente Ejecutivo</w:t>
            </w:r>
          </w:p>
        </w:tc>
      </w:tr>
    </w:tbl>
    <w:p w:rsidR="003364B1" w:rsidRDefault="003364B1">
      <w:pPr>
        <w:spacing w:line="360" w:lineRule="auto"/>
        <w:jc w:val="both"/>
      </w:pPr>
    </w:p>
    <w:sectPr w:rsidR="00336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36" w:rsidRDefault="00217836">
      <w:r>
        <w:separator/>
      </w:r>
    </w:p>
  </w:endnote>
  <w:endnote w:type="continuationSeparator" w:id="0">
    <w:p w:rsidR="00217836" w:rsidRDefault="0021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CA" w:rsidRDefault="00311D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B1" w:rsidRDefault="003364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CA" w:rsidRDefault="00311D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36" w:rsidRDefault="00217836">
      <w:r>
        <w:separator/>
      </w:r>
    </w:p>
  </w:footnote>
  <w:footnote w:type="continuationSeparator" w:id="0">
    <w:p w:rsidR="00217836" w:rsidRDefault="0021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CA" w:rsidRDefault="00311D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B1" w:rsidRDefault="003364B1">
    <w:pPr>
      <w:pStyle w:val="Encabezado"/>
    </w:pPr>
  </w:p>
  <w:tbl>
    <w:tblPr>
      <w:tblpPr w:leftFromText="141" w:rightFromText="141" w:vertAnchor="text" w:horzAnchor="margin" w:tblpY="-410"/>
      <w:tblW w:w="5000" w:type="pct"/>
      <w:tblLook w:val="01E0" w:firstRow="1" w:lastRow="1" w:firstColumn="1" w:lastColumn="1" w:noHBand="0" w:noVBand="0"/>
    </w:tblPr>
    <w:tblGrid>
      <w:gridCol w:w="2211"/>
      <w:gridCol w:w="3637"/>
      <w:gridCol w:w="1498"/>
      <w:gridCol w:w="1482"/>
    </w:tblGrid>
    <w:tr w:rsidR="003364B1">
      <w:trPr>
        <w:trHeight w:val="236"/>
      </w:trPr>
      <w:tc>
        <w:tcPr>
          <w:tcW w:w="21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217836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60736193" wp14:editId="45731FF7">
                <wp:extent cx="1266825" cy="912495"/>
                <wp:effectExtent l="0" t="0" r="0" b="0"/>
                <wp:docPr id="7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912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_UnoMark__28144_2955898995"/>
          <w:bookmarkEnd w:id="0"/>
        </w:p>
      </w:tc>
      <w:tc>
        <w:tcPr>
          <w:tcW w:w="371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217836">
          <w:pPr>
            <w:jc w:val="center"/>
          </w:pPr>
          <w:bookmarkStart w:id="1" w:name="__UnoMark__28145_2955898995"/>
          <w:bookmarkStart w:id="2" w:name="_GoBack"/>
          <w:bookmarkEnd w:id="1"/>
          <w:r>
            <w:rPr>
              <w:rFonts w:ascii="Arial" w:hAnsi="Arial" w:cs="Arial"/>
              <w:b/>
              <w:color w:val="1F497D"/>
            </w:rPr>
            <w:t>M</w:t>
          </w:r>
          <w:r>
            <w:rPr>
              <w:rFonts w:ascii="Arial" w:hAnsi="Arial" w:cs="Arial"/>
              <w:b/>
              <w:color w:val="1F497D"/>
            </w:rPr>
            <w:t>ANUAL DE ARCHIVO Y DOCUMENTACIÓN</w:t>
          </w:r>
          <w:bookmarkStart w:id="3" w:name="__UnoMark__28146_2955898995"/>
          <w:bookmarkEnd w:id="3"/>
          <w:bookmarkEnd w:id="2"/>
        </w:p>
      </w:tc>
      <w:tc>
        <w:tcPr>
          <w:tcW w:w="1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217836">
          <w:pPr>
            <w:jc w:val="right"/>
          </w:pPr>
          <w:bookmarkStart w:id="4" w:name="__UnoMark__28147_2955898995"/>
          <w:bookmarkEnd w:id="4"/>
          <w:r>
            <w:rPr>
              <w:rFonts w:ascii="Arial" w:hAnsi="Arial" w:cs="Arial"/>
              <w:b/>
            </w:rPr>
            <w:t>C</w:t>
          </w:r>
          <w:r>
            <w:rPr>
              <w:rFonts w:ascii="Arial" w:hAnsi="Arial" w:cs="Arial"/>
              <w:b/>
            </w:rPr>
            <w:t xml:space="preserve">ÓDIGO:  </w:t>
          </w:r>
          <w:bookmarkStart w:id="5" w:name="__UnoMark__28148_2955898995"/>
          <w:bookmarkEnd w:id="5"/>
        </w:p>
      </w:tc>
      <w:tc>
        <w:tcPr>
          <w:tcW w:w="1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217836">
          <w:bookmarkStart w:id="6" w:name="__UnoMark__28149_2955898995"/>
          <w:bookmarkEnd w:id="6"/>
          <w:r>
            <w:rPr>
              <w:rFonts w:ascii="Arial" w:hAnsi="Arial" w:cs="Arial"/>
            </w:rPr>
            <w:t>:CCMDGD-02</w:t>
          </w:r>
          <w:bookmarkStart w:id="7" w:name="__UnoMark__28150_2955898995"/>
          <w:bookmarkEnd w:id="7"/>
        </w:p>
      </w:tc>
    </w:tr>
    <w:tr w:rsidR="003364B1">
      <w:trPr>
        <w:trHeight w:val="121"/>
      </w:trPr>
      <w:tc>
        <w:tcPr>
          <w:tcW w:w="21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3364B1">
          <w:pPr>
            <w:rPr>
              <w:sz w:val="24"/>
              <w:szCs w:val="24"/>
            </w:rPr>
          </w:pPr>
          <w:bookmarkStart w:id="8" w:name="__UnoMark__28152_2955898995"/>
          <w:bookmarkStart w:id="9" w:name="__UnoMark__28151_2955898995"/>
          <w:bookmarkEnd w:id="8"/>
          <w:bookmarkEnd w:id="9"/>
        </w:p>
      </w:tc>
      <w:tc>
        <w:tcPr>
          <w:tcW w:w="37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3364B1">
          <w:pPr>
            <w:rPr>
              <w:rFonts w:ascii="Arial" w:hAnsi="Arial" w:cs="Arial"/>
              <w:b/>
              <w:color w:val="1F497D"/>
              <w:sz w:val="24"/>
              <w:szCs w:val="24"/>
            </w:rPr>
          </w:pPr>
          <w:bookmarkStart w:id="10" w:name="__UnoMark__28154_2955898995"/>
          <w:bookmarkStart w:id="11" w:name="__UnoMark__28153_2955898995"/>
          <w:bookmarkEnd w:id="10"/>
          <w:bookmarkEnd w:id="11"/>
        </w:p>
      </w:tc>
      <w:tc>
        <w:tcPr>
          <w:tcW w:w="1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217836">
          <w:pPr>
            <w:jc w:val="right"/>
          </w:pPr>
          <w:bookmarkStart w:id="12" w:name="__UnoMark__28155_2955898995"/>
          <w:bookmarkEnd w:id="12"/>
          <w:r>
            <w:rPr>
              <w:rFonts w:ascii="Arial" w:hAnsi="Arial" w:cs="Arial"/>
              <w:b/>
            </w:rPr>
            <w:t>V</w:t>
          </w:r>
          <w:r>
            <w:rPr>
              <w:rFonts w:ascii="Arial" w:hAnsi="Arial" w:cs="Arial"/>
              <w:b/>
            </w:rPr>
            <w:t>ERSIÓN:</w:t>
          </w:r>
          <w:bookmarkStart w:id="13" w:name="__UnoMark__28156_2955898995"/>
          <w:bookmarkEnd w:id="13"/>
        </w:p>
      </w:tc>
      <w:tc>
        <w:tcPr>
          <w:tcW w:w="1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217836">
          <w:bookmarkStart w:id="14" w:name="__UnoMark__28157_2955898995"/>
          <w:bookmarkEnd w:id="14"/>
          <w:r>
            <w:rPr>
              <w:rFonts w:ascii="Arial" w:hAnsi="Arial" w:cs="Arial"/>
            </w:rPr>
            <w:t>:03</w:t>
          </w:r>
          <w:bookmarkStart w:id="15" w:name="__UnoMark__28158_2955898995"/>
          <w:bookmarkEnd w:id="15"/>
        </w:p>
      </w:tc>
    </w:tr>
    <w:tr w:rsidR="003364B1">
      <w:trPr>
        <w:trHeight w:val="121"/>
      </w:trPr>
      <w:tc>
        <w:tcPr>
          <w:tcW w:w="21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3364B1">
          <w:pPr>
            <w:rPr>
              <w:sz w:val="24"/>
              <w:szCs w:val="24"/>
            </w:rPr>
          </w:pPr>
          <w:bookmarkStart w:id="16" w:name="__UnoMark__28160_2955898995"/>
          <w:bookmarkStart w:id="17" w:name="__UnoMark__28159_2955898995"/>
          <w:bookmarkEnd w:id="16"/>
          <w:bookmarkEnd w:id="17"/>
        </w:p>
      </w:tc>
      <w:tc>
        <w:tcPr>
          <w:tcW w:w="37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3364B1">
          <w:pPr>
            <w:rPr>
              <w:rFonts w:ascii="Arial" w:hAnsi="Arial" w:cs="Arial"/>
              <w:b/>
              <w:color w:val="1F497D"/>
              <w:sz w:val="24"/>
              <w:szCs w:val="24"/>
            </w:rPr>
          </w:pPr>
          <w:bookmarkStart w:id="18" w:name="__UnoMark__28162_2955898995"/>
          <w:bookmarkStart w:id="19" w:name="__UnoMark__28161_2955898995"/>
          <w:bookmarkEnd w:id="18"/>
          <w:bookmarkEnd w:id="19"/>
        </w:p>
      </w:tc>
      <w:tc>
        <w:tcPr>
          <w:tcW w:w="1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217836">
          <w:pPr>
            <w:jc w:val="right"/>
          </w:pPr>
          <w:bookmarkStart w:id="20" w:name="__UnoMark__28163_2955898995"/>
          <w:bookmarkEnd w:id="20"/>
          <w:r>
            <w:rPr>
              <w:rFonts w:ascii="Arial" w:hAnsi="Arial" w:cs="Arial"/>
              <w:b/>
            </w:rPr>
            <w:t>F</w:t>
          </w:r>
          <w:r>
            <w:rPr>
              <w:rFonts w:ascii="Arial" w:hAnsi="Arial" w:cs="Arial"/>
              <w:b/>
            </w:rPr>
            <w:t xml:space="preserve">ECHA  DE VIGENCIA:   </w:t>
          </w:r>
          <w:bookmarkStart w:id="21" w:name="__UnoMark__28164_2955898995"/>
          <w:bookmarkEnd w:id="21"/>
        </w:p>
      </w:tc>
      <w:tc>
        <w:tcPr>
          <w:tcW w:w="1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217836">
          <w:bookmarkStart w:id="22" w:name="__UnoMark__28165_2955898995"/>
          <w:bookmarkEnd w:id="22"/>
          <w:r>
            <w:rPr>
              <w:rFonts w:ascii="Arial" w:hAnsi="Arial" w:cs="Arial"/>
            </w:rPr>
            <w:t>:02/01/2018</w:t>
          </w:r>
          <w:bookmarkStart w:id="23" w:name="__UnoMark__28166_2955898995"/>
          <w:bookmarkEnd w:id="23"/>
        </w:p>
      </w:tc>
    </w:tr>
    <w:tr w:rsidR="003364B1">
      <w:trPr>
        <w:trHeight w:val="469"/>
      </w:trPr>
      <w:tc>
        <w:tcPr>
          <w:tcW w:w="21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3364B1">
          <w:pPr>
            <w:rPr>
              <w:sz w:val="24"/>
              <w:szCs w:val="24"/>
            </w:rPr>
          </w:pPr>
          <w:bookmarkStart w:id="24" w:name="__UnoMark__28168_2955898995"/>
          <w:bookmarkStart w:id="25" w:name="__UnoMark__28167_2955898995"/>
          <w:bookmarkEnd w:id="24"/>
          <w:bookmarkEnd w:id="25"/>
        </w:p>
      </w:tc>
      <w:tc>
        <w:tcPr>
          <w:tcW w:w="37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364B1" w:rsidRDefault="003364B1">
          <w:pPr>
            <w:rPr>
              <w:rFonts w:ascii="Arial" w:hAnsi="Arial" w:cs="Arial"/>
              <w:b/>
              <w:color w:val="1F497D"/>
              <w:sz w:val="24"/>
              <w:szCs w:val="24"/>
            </w:rPr>
          </w:pPr>
          <w:bookmarkStart w:id="26" w:name="__UnoMark__28170_2955898995"/>
          <w:bookmarkStart w:id="27" w:name="__UnoMark__28169_2955898995"/>
          <w:bookmarkEnd w:id="26"/>
          <w:bookmarkEnd w:id="27"/>
        </w:p>
      </w:tc>
      <w:tc>
        <w:tcPr>
          <w:tcW w:w="300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364B1" w:rsidRDefault="00217836">
          <w:pPr>
            <w:jc w:val="right"/>
          </w:pPr>
          <w:bookmarkStart w:id="28" w:name="__UnoMark__28171_2955898995"/>
          <w:bookmarkEnd w:id="28"/>
          <w:r>
            <w:rPr>
              <w:b/>
              <w:color w:val="1F497D"/>
            </w:rPr>
            <w:t>P</w:t>
          </w:r>
          <w:r>
            <w:rPr>
              <w:b/>
              <w:color w:val="1F497D"/>
            </w:rPr>
            <w:t>ágina 1 de 8</w:t>
          </w:r>
        </w:p>
      </w:tc>
    </w:tr>
  </w:tbl>
  <w:p w:rsidR="003364B1" w:rsidRDefault="003364B1">
    <w:pPr>
      <w:pStyle w:val="Encabezado"/>
    </w:pPr>
  </w:p>
  <w:p w:rsidR="003364B1" w:rsidRDefault="003364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CA" w:rsidRDefault="00311D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F43"/>
    <w:multiLevelType w:val="multilevel"/>
    <w:tmpl w:val="F63E51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A0508B"/>
    <w:multiLevelType w:val="multilevel"/>
    <w:tmpl w:val="60201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" w15:restartNumberingAfterBreak="0">
    <w:nsid w:val="3FCB7E11"/>
    <w:multiLevelType w:val="multilevel"/>
    <w:tmpl w:val="372E6936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E17E83"/>
    <w:multiLevelType w:val="multilevel"/>
    <w:tmpl w:val="721E7C9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88452F"/>
    <w:multiLevelType w:val="multilevel"/>
    <w:tmpl w:val="AE56B7F0"/>
    <w:lvl w:ilvl="0">
      <w:start w:val="3"/>
      <w:numFmt w:val="decimal"/>
      <w:pStyle w:val="Ttulo4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7DA3335"/>
    <w:multiLevelType w:val="multilevel"/>
    <w:tmpl w:val="8E109F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BF616B"/>
    <w:multiLevelType w:val="multilevel"/>
    <w:tmpl w:val="433EFB70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B1"/>
    <w:rsid w:val="00217836"/>
    <w:rsid w:val="00311DCA"/>
    <w:rsid w:val="003364B1"/>
    <w:rsid w:val="00B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73CB102-D3C0-436D-8A63-54271B5F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F4B"/>
    <w:rPr>
      <w:rFonts w:ascii="Times New Roman" w:eastAsia="Times New Roman" w:hAnsi="Times New Roman" w:cs="Times New Roman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276F4B"/>
    <w:pPr>
      <w:keepNext/>
      <w:spacing w:line="360" w:lineRule="auto"/>
      <w:jc w:val="both"/>
      <w:outlineLvl w:val="1"/>
    </w:pPr>
    <w:rPr>
      <w:b/>
      <w:sz w:val="28"/>
      <w:lang w:val="es-MX"/>
    </w:rPr>
  </w:style>
  <w:style w:type="paragraph" w:styleId="Ttulo4">
    <w:name w:val="heading 4"/>
    <w:basedOn w:val="Normal"/>
    <w:next w:val="Normal"/>
    <w:link w:val="Ttulo4Car"/>
    <w:qFormat/>
    <w:rsid w:val="00276F4B"/>
    <w:pPr>
      <w:keepNext/>
      <w:numPr>
        <w:numId w:val="1"/>
      </w:numPr>
      <w:spacing w:line="360" w:lineRule="auto"/>
      <w:jc w:val="both"/>
      <w:outlineLvl w:val="3"/>
    </w:pPr>
    <w:rPr>
      <w:b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qFormat/>
    <w:rsid w:val="00276F4B"/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qFormat/>
    <w:rsid w:val="00276F4B"/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276F4B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276F4B"/>
    <w:rPr>
      <w:rFonts w:ascii="Calibri" w:eastAsia="Times New Roman" w:hAnsi="Calibri"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76F4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2B32FA"/>
    <w:rPr>
      <w:color w:val="0248B0"/>
      <w:u w:val="single"/>
    </w:rPr>
  </w:style>
  <w:style w:type="character" w:customStyle="1" w:styleId="ilad1">
    <w:name w:val="il_ad1"/>
    <w:basedOn w:val="Fuentedeprrafopredeter"/>
    <w:qFormat/>
    <w:rsid w:val="00EF4841"/>
    <w:rPr>
      <w:vanish w:val="0"/>
      <w:color w:val="33006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94F7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94F7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">
    <w:name w:val="a"/>
    <w:basedOn w:val="Fuentedeprrafopredeter"/>
    <w:qFormat/>
    <w:rsid w:val="003D3A45"/>
  </w:style>
  <w:style w:type="character" w:customStyle="1" w:styleId="apple-converted-space">
    <w:name w:val="apple-converted-space"/>
    <w:basedOn w:val="Fuentedeprrafopredeter"/>
    <w:qFormat/>
    <w:rsid w:val="003D3A45"/>
  </w:style>
  <w:style w:type="character" w:customStyle="1" w:styleId="l">
    <w:name w:val="l"/>
    <w:basedOn w:val="Fuentedeprrafopredeter"/>
    <w:qFormat/>
    <w:rsid w:val="003D3A45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Arial" w:eastAsia="Times New Roman" w:hAnsi="Arial" w:cs="Arial"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Aria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ascii="Arial" w:eastAsia="Times New Roman" w:hAnsi="Arial" w:cs="Arial"/>
      <w:sz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rsid w:val="00276F4B"/>
    <w:pPr>
      <w:jc w:val="both"/>
    </w:pPr>
    <w:rPr>
      <w:sz w:val="28"/>
      <w:lang w:val="es-MX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link w:val="SinespaciadoCar"/>
    <w:uiPriority w:val="1"/>
    <w:qFormat/>
    <w:rsid w:val="00276F4B"/>
    <w:rPr>
      <w:rFonts w:eastAsia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76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EF4841"/>
    <w:pPr>
      <w:spacing w:beforeAutospacing="1" w:afterAutospacing="1"/>
    </w:pPr>
    <w:rPr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A220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4F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994F72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2E24-BECE-40F7-988E-59D9DB1E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2168</Words>
  <Characters>11924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Comercio Magangué</Company>
  <LinksUpToDate>false</LinksUpToDate>
  <CharactersWithSpaces>14064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Cámara Comercio Magangué</dc:creator>
  <dc:description/>
  <cp:lastModifiedBy>Cámara de Comercio de Magangué</cp:lastModifiedBy>
  <cp:revision>4</cp:revision>
  <cp:lastPrinted>2013-09-26T16:20:00Z</cp:lastPrinted>
  <dcterms:created xsi:type="dcterms:W3CDTF">2019-08-12T15:32:00Z</dcterms:created>
  <dcterms:modified xsi:type="dcterms:W3CDTF">2019-08-12T15:32:00Z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Cámara Comercio Magangué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