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B1" w:rsidRDefault="009E7EB1">
      <w:pPr>
        <w:widowControl w:val="0"/>
        <w:spacing w:after="0" w:line="310" w:lineRule="exact"/>
        <w:ind w:left="438" w:right="-20"/>
        <w:rPr>
          <w:rFonts w:ascii="Arial" w:hAnsi="Arial" w:cs="Arial"/>
          <w:b/>
          <w:spacing w:val="1"/>
          <w:w w:val="114"/>
          <w:sz w:val="24"/>
          <w:szCs w:val="24"/>
        </w:rPr>
      </w:pPr>
    </w:p>
    <w:p w:rsidR="009E7EB1" w:rsidRDefault="00BD227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DEL MANUAL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Establecer y dar a conocer la forma de planear, hacer y verificar el plan de formación de la entidad de tal manera que </w:t>
      </w:r>
      <w:proofErr w:type="gramStart"/>
      <w:r>
        <w:rPr>
          <w:rFonts w:ascii="Arial" w:hAnsi="Arial" w:cs="Arial"/>
          <w:sz w:val="24"/>
          <w:szCs w:val="24"/>
        </w:rPr>
        <w:t>se  cumpla</w:t>
      </w:r>
      <w:proofErr w:type="gramEnd"/>
      <w:r>
        <w:rPr>
          <w:rFonts w:ascii="Arial" w:hAnsi="Arial" w:cs="Arial"/>
          <w:sz w:val="24"/>
          <w:szCs w:val="24"/>
        </w:rPr>
        <w:t xml:space="preserve"> con el cronograma de capacitaciones programadas. </w:t>
      </w:r>
    </w:p>
    <w:p w:rsidR="009E7EB1" w:rsidRDefault="00BD227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ALCANCE 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 Manual será de aplicación para  </w:t>
      </w:r>
      <w:r>
        <w:rPr>
          <w:rFonts w:ascii="Arial" w:hAnsi="Arial" w:cs="Arial"/>
          <w:sz w:val="24"/>
          <w:szCs w:val="24"/>
        </w:rPr>
        <w:t xml:space="preserve">todo  el personal que  labora en  la Cámara de Comercio de Magangué y personal contratado para tal fin, entrará  en  </w:t>
      </w:r>
      <w:proofErr w:type="gramStart"/>
      <w:r>
        <w:rPr>
          <w:rFonts w:ascii="Arial" w:hAnsi="Arial" w:cs="Arial"/>
          <w:sz w:val="24"/>
          <w:szCs w:val="24"/>
        </w:rPr>
        <w:t>vigor</w:t>
      </w:r>
      <w:proofErr w:type="gramEnd"/>
      <w:r>
        <w:rPr>
          <w:rFonts w:ascii="Arial" w:hAnsi="Arial" w:cs="Arial"/>
          <w:sz w:val="24"/>
          <w:szCs w:val="24"/>
        </w:rPr>
        <w:t xml:space="preserve"> al  día  siguiente  de  su aprobación.</w:t>
      </w:r>
    </w:p>
    <w:p w:rsidR="009E7EB1" w:rsidRDefault="00BD227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DEFINICIONES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Capacitación: se considera como un proceso educativo a corto plazo que utiliza un</w:t>
      </w:r>
      <w:r>
        <w:rPr>
          <w:rFonts w:ascii="Arial" w:hAnsi="Arial" w:cs="Arial"/>
          <w:sz w:val="24"/>
          <w:szCs w:val="24"/>
        </w:rPr>
        <w:t xml:space="preserve"> procedimiento planeado.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Formación: Proceso que tiene una persona para adquirir desarrollo, recibir una educación o un conocimiento.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Plan: es una intención o un proyecto. Se trata de un modelo sistemático que se elabora antes de realizar una acción.</w:t>
      </w:r>
    </w:p>
    <w:p w:rsidR="009E7EB1" w:rsidRDefault="00BD2271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Educac</w:t>
      </w:r>
      <w:r>
        <w:rPr>
          <w:rFonts w:ascii="Arial" w:hAnsi="Arial" w:cs="Arial"/>
          <w:sz w:val="24"/>
          <w:szCs w:val="24"/>
        </w:rPr>
        <w:t xml:space="preserve">ión: Proceso multidireccional mediante el cual se transmiten </w:t>
      </w:r>
      <w:hyperlink r:id="rId7" w:tgtFrame="Conocimiento">
        <w:r>
          <w:rPr>
            <w:rStyle w:val="EnlacedeInternet"/>
            <w:rFonts w:ascii="Arial" w:hAnsi="Arial" w:cs="Arial"/>
            <w:color w:val="auto"/>
            <w:sz w:val="24"/>
            <w:szCs w:val="24"/>
          </w:rPr>
          <w:t>conocimientos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8" w:tgtFrame="Valores">
        <w:r>
          <w:rPr>
            <w:rStyle w:val="EnlacedeInternet"/>
            <w:rFonts w:ascii="Arial" w:hAnsi="Arial" w:cs="Arial"/>
            <w:color w:val="auto"/>
            <w:sz w:val="24"/>
            <w:szCs w:val="24"/>
          </w:rPr>
          <w:t>valores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9" w:tgtFrame="Costumbre">
        <w:r>
          <w:rPr>
            <w:rStyle w:val="EnlacedeInternet"/>
            <w:rFonts w:ascii="Arial" w:hAnsi="Arial" w:cs="Arial"/>
            <w:color w:val="auto"/>
            <w:sz w:val="24"/>
            <w:szCs w:val="24"/>
          </w:rPr>
          <w:t>costumbres</w:t>
        </w:r>
      </w:hyperlink>
      <w:r>
        <w:rPr>
          <w:rFonts w:ascii="Arial" w:hAnsi="Arial" w:cs="Arial"/>
          <w:sz w:val="24"/>
          <w:szCs w:val="24"/>
        </w:rPr>
        <w:t xml:space="preserve"> y formas de actuar. La educación no sólo se produce a través de la </w:t>
      </w:r>
      <w:hyperlink r:id="rId10" w:tgtFrame="Palabra">
        <w:r>
          <w:rPr>
            <w:rStyle w:val="EnlacedeInternet"/>
            <w:rFonts w:ascii="Arial" w:hAnsi="Arial" w:cs="Arial"/>
            <w:color w:val="auto"/>
            <w:sz w:val="24"/>
            <w:szCs w:val="24"/>
          </w:rPr>
          <w:t>palabra</w:t>
        </w:r>
      </w:hyperlink>
      <w:r>
        <w:rPr>
          <w:rFonts w:ascii="Arial" w:hAnsi="Arial" w:cs="Arial"/>
          <w:sz w:val="24"/>
          <w:szCs w:val="24"/>
        </w:rPr>
        <w:t>: está presente en todas nuestras acciones, sentimie</w:t>
      </w:r>
      <w:r>
        <w:rPr>
          <w:rFonts w:ascii="Arial" w:hAnsi="Arial" w:cs="Arial"/>
          <w:sz w:val="24"/>
          <w:szCs w:val="24"/>
        </w:rPr>
        <w:t>ntos y actitudes.</w:t>
      </w:r>
    </w:p>
    <w:p w:rsidR="009E7EB1" w:rsidRDefault="00BD227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RESPONSABILIDADES: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responsables en este proceso son: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4.1 Presidente Ejecutivo: Encargado de establecer las partidas en el presupuesto para los planes de formación cuando se haya que contratar personal externo.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Junta Directiva: Apr</w:t>
      </w:r>
      <w:r>
        <w:rPr>
          <w:rFonts w:ascii="Arial" w:hAnsi="Arial" w:cs="Arial"/>
          <w:sz w:val="24"/>
          <w:szCs w:val="24"/>
        </w:rPr>
        <w:t>obación rubro en el presupuesto para capacitaciones anuales.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Presidente Junta Directiva: Aprobación rubro en el presupuesto para capacitaciones anuales.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 Directores de Área: Responsables de realizar en conjunto con el Presidente ejecutivo programa s</w:t>
      </w:r>
      <w:r>
        <w:rPr>
          <w:rFonts w:ascii="Arial" w:hAnsi="Arial" w:cs="Arial"/>
          <w:sz w:val="24"/>
          <w:szCs w:val="24"/>
        </w:rPr>
        <w:t>emestral de capacitaciones una vez analizadas las evaluaciones de desempeño.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 Director(a) de Gestión Administrativa: Responsable del proceso de talento humano y de revisar que se dé estricto cumplimiento al plan de formación.</w:t>
      </w:r>
    </w:p>
    <w:p w:rsidR="009E7EB1" w:rsidRDefault="00BD227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LA CAPACITACIÓN DEL PERS</w:t>
      </w:r>
      <w:r>
        <w:rPr>
          <w:rFonts w:ascii="Arial" w:hAnsi="Arial" w:cs="Arial"/>
          <w:b/>
          <w:sz w:val="24"/>
          <w:szCs w:val="24"/>
        </w:rPr>
        <w:t>ONAL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 recursos  financieros  que  se  utilizarán  para  implementar  el  Programa  Anual de Capacitación  serán  planeados  y presupuestados   por  la alta dirección, quedaran estipulados  en cada centro de costos de acuerdo a su necesidad y especialme</w:t>
      </w:r>
      <w:r>
        <w:rPr>
          <w:rFonts w:ascii="Arial" w:hAnsi="Arial" w:cs="Arial"/>
          <w:sz w:val="24"/>
          <w:szCs w:val="24"/>
        </w:rPr>
        <w:t xml:space="preserve">nte en el rubro de talento humano. 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Presidente Ejecutivo en compañía de los </w:t>
      </w:r>
      <w:proofErr w:type="gramStart"/>
      <w:r>
        <w:rPr>
          <w:rFonts w:ascii="Arial" w:hAnsi="Arial" w:cs="Arial"/>
          <w:sz w:val="24"/>
          <w:szCs w:val="24"/>
        </w:rPr>
        <w:t>Directores  de</w:t>
      </w:r>
      <w:proofErr w:type="gramEnd"/>
      <w:r>
        <w:rPr>
          <w:rFonts w:ascii="Arial" w:hAnsi="Arial" w:cs="Arial"/>
          <w:sz w:val="24"/>
          <w:szCs w:val="24"/>
        </w:rPr>
        <w:t xml:space="preserve"> área una vez realizada las evaluaciones de desempeño semestral se reunirá dentro de los diez (10)  días hábiles siguientes y analizarán los aspectos evaluados y </w:t>
      </w:r>
      <w:r>
        <w:rPr>
          <w:rFonts w:ascii="Arial" w:hAnsi="Arial" w:cs="Arial"/>
          <w:sz w:val="24"/>
          <w:szCs w:val="24"/>
        </w:rPr>
        <w:t xml:space="preserve"> de acuerdo al resultado obtenido  se elabora un  Programa   semestral   de  Capacitación; el cual deberá ser diligenciado en el formato establecido para tal fin. Ver formato anexo (Plan de Formación).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Directora(a) de Gestión Administrativa, supervisará</w:t>
      </w:r>
      <w:r>
        <w:rPr>
          <w:rFonts w:ascii="Arial" w:hAnsi="Arial" w:cs="Arial"/>
          <w:sz w:val="24"/>
          <w:szCs w:val="24"/>
        </w:rPr>
        <w:t xml:space="preserve"> el cumplimiento del Programa para lo cual socializará y entregará copia física del mismo a los funcionarios responsables de su ejecución.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Capacitación deberá ser evaluada según criterio del expositor, pero se debe dejar constancia de la misma. Los fu</w:t>
      </w:r>
      <w:r>
        <w:rPr>
          <w:rFonts w:ascii="Arial" w:hAnsi="Arial" w:cs="Arial"/>
          <w:sz w:val="24"/>
          <w:szCs w:val="24"/>
        </w:rPr>
        <w:t>ncionarios que no alcance la nota mínima de 80% deberán realizar exposición del tema visto y serán evaluados nuevamente hasta obtener la calificación mínima.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Debe evaluarse la eficacia de las evaluaciones para lo cual los expositores o conferencistas </w:t>
      </w:r>
      <w:r>
        <w:rPr>
          <w:rFonts w:ascii="Arial" w:hAnsi="Arial" w:cs="Arial"/>
          <w:sz w:val="24"/>
          <w:szCs w:val="24"/>
        </w:rPr>
        <w:t>contarán con un tiempo máximo de 5 días hábiles para presentar las evaluaciones o talleres de los temas expuestos y el resultado de la evaluación de la eficacia. Ver. Formato Verificación de la Eficacia en las capacitaciones.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pasados los cinco días el e</w:t>
      </w:r>
      <w:r>
        <w:rPr>
          <w:rFonts w:ascii="Arial" w:hAnsi="Arial" w:cs="Arial"/>
          <w:sz w:val="24"/>
          <w:szCs w:val="24"/>
        </w:rPr>
        <w:t>xpositor no presenta las evaluaciones respectivas será oficiado por el Director de Gestión Administrativa y tendrá plazo máximo de dos días para la presentación de las mismas.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se presentará  propuesta   de   modificación   al   Programa   semestral    d</w:t>
      </w:r>
      <w:r>
        <w:rPr>
          <w:rFonts w:ascii="Arial" w:hAnsi="Arial" w:cs="Arial"/>
          <w:sz w:val="24"/>
          <w:szCs w:val="24"/>
        </w:rPr>
        <w:t>e   Capacitación   deberá   ser aprobada por el Presidente Ejecutivo previa solicitud de diez (10) días antes de la realización de la misma, para poder ser implementada y socializada por la Directora(a) de Gestión Administrativa.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proveedores externos </w:t>
      </w:r>
      <w:r>
        <w:rPr>
          <w:rFonts w:ascii="Arial" w:hAnsi="Arial" w:cs="Arial"/>
          <w:sz w:val="24"/>
          <w:szCs w:val="24"/>
        </w:rPr>
        <w:t>de capacitación que contrate la Cámara de Comercio, serán entrevistados por el Presidente Ejecutivo y/o el Responsable del Área que requiera la capacitación y dejar por escrito su visto bueno.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Directora(a) de Gestión Administrativa delegará a quien le c</w:t>
      </w:r>
      <w:r>
        <w:rPr>
          <w:rFonts w:ascii="Arial" w:hAnsi="Arial" w:cs="Arial"/>
          <w:sz w:val="24"/>
          <w:szCs w:val="24"/>
        </w:rPr>
        <w:t xml:space="preserve">orresponda, realizar inducción sobre el Sistema de Gestión de Calidad, Sistema de Gestión de Seguridad y Salud en el Trabajo, Documentos Institucionales, Sistema de Gestión Documental, </w:t>
      </w:r>
      <w:r>
        <w:rPr>
          <w:rFonts w:ascii="Arial" w:hAnsi="Arial" w:cs="Arial"/>
          <w:sz w:val="24"/>
          <w:szCs w:val="24"/>
        </w:rPr>
        <w:lastRenderedPageBreak/>
        <w:t>Organigrama, Estatutos y Reglamento Interno de Trabajo al personal nuev</w:t>
      </w:r>
      <w:r>
        <w:rPr>
          <w:rFonts w:ascii="Arial" w:hAnsi="Arial" w:cs="Arial"/>
          <w:sz w:val="24"/>
          <w:szCs w:val="24"/>
        </w:rPr>
        <w:t>o. En un lapso no mayor a un mes a partir de su inicio de periodo de prueba. Deberá dejar evidencia y evaluación de la misma para ser archiva en su hoja de vida o historia laboral.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inducción en lo que respecta al desarrollo de sus funciones para el</w:t>
      </w:r>
      <w:r>
        <w:rPr>
          <w:rFonts w:ascii="Arial" w:hAnsi="Arial" w:cs="Arial"/>
          <w:sz w:val="24"/>
          <w:szCs w:val="24"/>
        </w:rPr>
        <w:t xml:space="preserve"> cual fue contratado deberá ser capacitado por el jefe de área o persona que asigne el mismo, de igual manera, deberá dejar constancia mediante Acta entrega del cargo y realizar evaluación.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finalizada toda capacitación se deberá dejar constancia me</w:t>
      </w:r>
      <w:r>
        <w:rPr>
          <w:rFonts w:ascii="Arial" w:hAnsi="Arial" w:cs="Arial"/>
          <w:sz w:val="24"/>
          <w:szCs w:val="24"/>
        </w:rPr>
        <w:t>diante el diligenciamiento del formato diseñado para tal fin (Actas de Capacitaciones Internas) Ver. Formato anexo.</w:t>
      </w:r>
    </w:p>
    <w:p w:rsidR="009E7EB1" w:rsidRDefault="00BD227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AUXILIO EDUCATIVO A EMPLEADOS</w:t>
      </w:r>
    </w:p>
    <w:p w:rsidR="009E7EB1" w:rsidRDefault="00BD2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entidad presupuestará en el rubro de Talento Humano un beneficio denominado “Auxilio Educativo”</w:t>
      </w:r>
      <w:proofErr w:type="gramStart"/>
      <w:r>
        <w:rPr>
          <w:rFonts w:ascii="Arial" w:hAnsi="Arial" w:cs="Arial"/>
          <w:sz w:val="24"/>
          <w:szCs w:val="24"/>
        </w:rPr>
        <w:t>,  otorgándo</w:t>
      </w:r>
      <w:r>
        <w:rPr>
          <w:rFonts w:ascii="Arial" w:hAnsi="Arial" w:cs="Arial"/>
          <w:sz w:val="24"/>
          <w:szCs w:val="24"/>
        </w:rPr>
        <w:t>le</w:t>
      </w:r>
      <w:proofErr w:type="gramEnd"/>
      <w:r>
        <w:rPr>
          <w:rFonts w:ascii="Arial" w:hAnsi="Arial" w:cs="Arial"/>
          <w:sz w:val="24"/>
          <w:szCs w:val="24"/>
        </w:rPr>
        <w:t xml:space="preserve"> el 50% del valor total de la formación profesional,  para los empleados que manifiesten su intención de realizar estudios superiores o formaciones específicas, en concordancia con las actividades relacionada al cargo,  establecidas en el manual de funci</w:t>
      </w:r>
      <w:r>
        <w:rPr>
          <w:rFonts w:ascii="Arial" w:hAnsi="Arial" w:cs="Arial"/>
          <w:sz w:val="24"/>
          <w:szCs w:val="24"/>
        </w:rPr>
        <w:t>ones. Para acceder a este beneficio educativo, se debe realizar lo siguiente:</w:t>
      </w:r>
    </w:p>
    <w:p w:rsidR="009E7EB1" w:rsidRDefault="00BD227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carta de solicitud de dicho auxilio educativo dirigida al Presidente Ejecutivo de la entidad, quién evaluará y aprobará dicha solicitud.</w:t>
      </w:r>
    </w:p>
    <w:p w:rsidR="009E7EB1" w:rsidRDefault="00BD227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aprobada la solicitud, s</w:t>
      </w:r>
      <w:r>
        <w:rPr>
          <w:rFonts w:ascii="Arial" w:hAnsi="Arial" w:cs="Arial"/>
          <w:sz w:val="24"/>
          <w:szCs w:val="24"/>
        </w:rPr>
        <w:t>e informa al área Financiera y Contable, quien le solicitará al empleado los respectivos soporte universitarios (Inscripción y matrícula), para así iniciar el proceso de pago.</w:t>
      </w:r>
    </w:p>
    <w:p w:rsidR="009E7EB1" w:rsidRDefault="00BD227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garantizar el cumplimiento de las obligaciones contraídas, se firma un conv</w:t>
      </w:r>
      <w:r>
        <w:rPr>
          <w:rFonts w:ascii="Arial" w:hAnsi="Arial" w:cs="Arial"/>
          <w:sz w:val="24"/>
          <w:szCs w:val="24"/>
        </w:rPr>
        <w:t>enio de apoyo entre el presidente ejecutivo y el empleado.</w:t>
      </w:r>
    </w:p>
    <w:p w:rsidR="009E7EB1" w:rsidRDefault="00BD227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proceso termina con el pago del 50% del valor total de la formación en el área financiera.</w:t>
      </w:r>
    </w:p>
    <w:p w:rsidR="009E7EB1" w:rsidRDefault="00BD227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beneficio aplicará a empleados que tengan más de un año laborando en la entidad con contrato a tér</w:t>
      </w:r>
      <w:r>
        <w:rPr>
          <w:rFonts w:ascii="Arial" w:hAnsi="Arial" w:cs="Arial"/>
          <w:sz w:val="24"/>
          <w:szCs w:val="24"/>
        </w:rPr>
        <w:t>mino fijo o indefinido.</w:t>
      </w:r>
    </w:p>
    <w:p w:rsidR="009E7EB1" w:rsidRDefault="009E7E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7EB1" w:rsidRDefault="00BD22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REGISTROS Y DOCUMENTOS DEL SISTEMA DE </w:t>
      </w:r>
      <w:proofErr w:type="spellStart"/>
      <w:r>
        <w:rPr>
          <w:rFonts w:ascii="Arial" w:hAnsi="Arial" w:cs="Arial"/>
          <w:b/>
          <w:sz w:val="24"/>
          <w:szCs w:val="24"/>
        </w:rPr>
        <w:t>GESTION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CALIDAD RELACIONADOS 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738"/>
        <w:gridCol w:w="4419"/>
        <w:gridCol w:w="2671"/>
      </w:tblGrid>
      <w:tr w:rsidR="009E7EB1">
        <w:trPr>
          <w:trHeight w:val="606"/>
        </w:trPr>
        <w:tc>
          <w:tcPr>
            <w:tcW w:w="1738" w:type="dxa"/>
            <w:shd w:val="clear" w:color="auto" w:fill="auto"/>
            <w:vAlign w:val="center"/>
          </w:tcPr>
          <w:p w:rsidR="009E7EB1" w:rsidRDefault="009E7E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EB1" w:rsidRDefault="00BD22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CODIGO</w:t>
            </w:r>
            <w:proofErr w:type="spellEnd"/>
          </w:p>
        </w:tc>
        <w:tc>
          <w:tcPr>
            <w:tcW w:w="4419" w:type="dxa"/>
            <w:shd w:val="clear" w:color="auto" w:fill="auto"/>
            <w:vAlign w:val="center"/>
          </w:tcPr>
          <w:p w:rsidR="009E7EB1" w:rsidRDefault="009E7E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EB1" w:rsidRDefault="00BD22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REGISTRO O DOCUMENTO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9E7EB1" w:rsidRDefault="00BD22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9E7EB1">
        <w:tc>
          <w:tcPr>
            <w:tcW w:w="1738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CCMRTH-1</w:t>
            </w:r>
          </w:p>
        </w:tc>
        <w:tc>
          <w:tcPr>
            <w:tcW w:w="4419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Actas de capacitaciones Internas</w:t>
            </w:r>
          </w:p>
        </w:tc>
        <w:tc>
          <w:tcPr>
            <w:tcW w:w="2671" w:type="dxa"/>
            <w:shd w:val="clear" w:color="auto" w:fill="auto"/>
          </w:tcPr>
          <w:p w:rsidR="009E7EB1" w:rsidRDefault="00BD22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Directora de Gestión Administrativa</w:t>
            </w:r>
          </w:p>
        </w:tc>
      </w:tr>
      <w:tr w:rsidR="009E7EB1">
        <w:tc>
          <w:tcPr>
            <w:tcW w:w="1738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CCMDTH-2</w:t>
            </w:r>
          </w:p>
        </w:tc>
        <w:tc>
          <w:tcPr>
            <w:tcW w:w="4419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Procedimiento de </w:t>
            </w:r>
            <w:r>
              <w:rPr>
                <w:rFonts w:ascii="Arial" w:hAnsi="Arial" w:cs="Arial"/>
                <w:sz w:val="24"/>
                <w:szCs w:val="24"/>
              </w:rPr>
              <w:t>Selección de personal</w:t>
            </w:r>
          </w:p>
        </w:tc>
        <w:tc>
          <w:tcPr>
            <w:tcW w:w="2671" w:type="dxa"/>
            <w:shd w:val="clear" w:color="auto" w:fill="auto"/>
          </w:tcPr>
          <w:p w:rsidR="009E7EB1" w:rsidRDefault="00BD227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Directora de Gestión Administrativa</w:t>
            </w:r>
          </w:p>
        </w:tc>
      </w:tr>
      <w:tr w:rsidR="009E7EB1">
        <w:tc>
          <w:tcPr>
            <w:tcW w:w="1738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CCMRTH-4</w:t>
            </w:r>
          </w:p>
        </w:tc>
        <w:tc>
          <w:tcPr>
            <w:tcW w:w="4419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Verificación de la Eficacia en las Capacitaciones</w:t>
            </w:r>
          </w:p>
        </w:tc>
        <w:tc>
          <w:tcPr>
            <w:tcW w:w="2671" w:type="dxa"/>
            <w:shd w:val="clear" w:color="auto" w:fill="auto"/>
          </w:tcPr>
          <w:p w:rsidR="009E7EB1" w:rsidRDefault="00BD227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Directora de Gestión Administrativa</w:t>
            </w:r>
          </w:p>
        </w:tc>
      </w:tr>
      <w:tr w:rsidR="009E7EB1">
        <w:tc>
          <w:tcPr>
            <w:tcW w:w="1738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CCMRGC-9</w:t>
            </w:r>
          </w:p>
        </w:tc>
        <w:tc>
          <w:tcPr>
            <w:tcW w:w="4419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de Formación</w:t>
            </w:r>
          </w:p>
        </w:tc>
        <w:tc>
          <w:tcPr>
            <w:tcW w:w="2671" w:type="dxa"/>
            <w:shd w:val="clear" w:color="auto" w:fill="auto"/>
          </w:tcPr>
          <w:p w:rsidR="009E7EB1" w:rsidRDefault="00BD227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Directora de Gestión Administrativa</w:t>
            </w:r>
          </w:p>
        </w:tc>
      </w:tr>
      <w:tr w:rsidR="009E7EB1">
        <w:tc>
          <w:tcPr>
            <w:tcW w:w="1738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CCMRGC-14</w:t>
            </w:r>
          </w:p>
        </w:tc>
        <w:tc>
          <w:tcPr>
            <w:tcW w:w="4419" w:type="dxa"/>
            <w:shd w:val="clear" w:color="auto" w:fill="auto"/>
          </w:tcPr>
          <w:p w:rsidR="009E7EB1" w:rsidRDefault="00BD22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Formato de Evaluación de </w:t>
            </w:r>
            <w:r>
              <w:rPr>
                <w:rFonts w:ascii="Arial" w:hAnsi="Arial" w:cs="Arial"/>
                <w:sz w:val="24"/>
                <w:szCs w:val="24"/>
              </w:rPr>
              <w:t>Desempeño</w:t>
            </w:r>
          </w:p>
        </w:tc>
        <w:tc>
          <w:tcPr>
            <w:tcW w:w="2671" w:type="dxa"/>
            <w:shd w:val="clear" w:color="auto" w:fill="auto"/>
          </w:tcPr>
          <w:p w:rsidR="009E7EB1" w:rsidRDefault="00BD227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Directora de Gestión Administrativa</w:t>
            </w:r>
          </w:p>
        </w:tc>
      </w:tr>
    </w:tbl>
    <w:p w:rsidR="009E7EB1" w:rsidRDefault="009E7EB1">
      <w:pPr>
        <w:jc w:val="both"/>
        <w:rPr>
          <w:rFonts w:ascii="Arial" w:hAnsi="Arial" w:cs="Arial"/>
          <w:sz w:val="24"/>
          <w:szCs w:val="24"/>
        </w:rPr>
      </w:pPr>
    </w:p>
    <w:p w:rsidR="009E7EB1" w:rsidRDefault="009E7EB1">
      <w:pPr>
        <w:jc w:val="both"/>
        <w:rPr>
          <w:rFonts w:ascii="Arial" w:hAnsi="Arial" w:cs="Arial"/>
          <w:sz w:val="24"/>
          <w:szCs w:val="24"/>
        </w:rPr>
      </w:pPr>
    </w:p>
    <w:p w:rsidR="009E7EB1" w:rsidRDefault="00BD22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ACTUALIZACIONES</w:t>
      </w:r>
    </w:p>
    <w:tbl>
      <w:tblPr>
        <w:tblW w:w="4950" w:type="pct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298"/>
        <w:gridCol w:w="5965"/>
      </w:tblGrid>
      <w:tr w:rsidR="009E7EB1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E7EB1" w:rsidRDefault="00BD2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E7EB1" w:rsidRDefault="00BD2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VERSION</w:t>
            </w:r>
            <w:proofErr w:type="spellEnd"/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E7EB1" w:rsidRDefault="00BD2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ACTUALIZACIÓN EFECTUADA</w:t>
            </w:r>
          </w:p>
        </w:tc>
      </w:tr>
      <w:tr w:rsidR="009E7EB1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15/12/2010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Creación del documento.</w:t>
            </w:r>
          </w:p>
        </w:tc>
      </w:tr>
      <w:tr w:rsidR="009E7EB1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04/09/2012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cambia el nombre de Director Ejecutivo por Presidente Ejecutivo. También quien revisa el </w:t>
            </w:r>
            <w:r>
              <w:rPr>
                <w:rFonts w:ascii="Arial" w:hAnsi="Arial" w:cs="Arial"/>
              </w:rPr>
              <w:t>documento es el auditor interno y quien lo aprueba es el Presidente Ejecutivo.</w:t>
            </w:r>
          </w:p>
        </w:tc>
      </w:tr>
      <w:tr w:rsidR="009E7EB1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21/12/2012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actualiza el documento cambiando el cargo del responsable de impartir la inducción sobre reglamento </w:t>
            </w:r>
            <w:r>
              <w:rPr>
                <w:rFonts w:ascii="Arial" w:hAnsi="Arial" w:cs="Arial"/>
              </w:rPr>
              <w:lastRenderedPageBreak/>
              <w:t>interno, Seguridad y Salud en el trabajo, organigrama, esta</w:t>
            </w:r>
            <w:r>
              <w:rPr>
                <w:rFonts w:ascii="Arial" w:hAnsi="Arial" w:cs="Arial"/>
              </w:rPr>
              <w:t>tutos y reglamento de Higiene y seguridad industrial al personal nuevo que anteriormente estaba a cargo de la Coordinadora Administrativa y financiera y queda bajo responsabilidad de la Auditora Interna.</w:t>
            </w:r>
          </w:p>
        </w:tc>
      </w:tr>
      <w:tr w:rsidR="009E7EB1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10/01/2013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actualiza el documento cambiando e</w:t>
            </w:r>
            <w:r>
              <w:rPr>
                <w:rFonts w:ascii="Arial" w:hAnsi="Arial" w:cs="Arial"/>
              </w:rPr>
              <w:t xml:space="preserve">l nombre de los cargos Coordinador administrativo y financiero por Director administrativo y financiero, Auditor interno por Coordinadora de </w:t>
            </w:r>
            <w:proofErr w:type="spellStart"/>
            <w:r>
              <w:rPr>
                <w:rFonts w:ascii="Arial" w:hAnsi="Arial" w:cs="Arial"/>
              </w:rPr>
              <w:t>CCS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9E7EB1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08/01/2016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actualiza el documento cambiando el nombre de los cargos: Directora Administrativa y Financi</w:t>
            </w:r>
            <w:r>
              <w:rPr>
                <w:rFonts w:ascii="Arial" w:hAnsi="Arial" w:cs="Arial"/>
              </w:rPr>
              <w:t xml:space="preserve">era por Director(a) Financiero y Contable, Coordinador de </w:t>
            </w:r>
            <w:proofErr w:type="spellStart"/>
            <w:r>
              <w:rPr>
                <w:rFonts w:ascii="Arial" w:hAnsi="Arial" w:cs="Arial"/>
              </w:rPr>
              <w:t>CCS</w:t>
            </w:r>
            <w:proofErr w:type="spellEnd"/>
            <w:r>
              <w:rPr>
                <w:rFonts w:ascii="Arial" w:hAnsi="Arial" w:cs="Arial"/>
              </w:rPr>
              <w:t xml:space="preserve"> por Director(a) de Gestión Administrativa, la cual será la responsable del Proceso de Talento Humano.</w:t>
            </w:r>
          </w:p>
        </w:tc>
      </w:tr>
      <w:tr w:rsidR="009E7EB1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25/08/2017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actualiza el documento incluyendo el ítem 6. Auxiliar Educativo para </w:t>
            </w:r>
            <w:r>
              <w:rPr>
                <w:rFonts w:ascii="Arial" w:hAnsi="Arial" w:cs="Arial"/>
              </w:rPr>
              <w:t>empleados.</w:t>
            </w:r>
          </w:p>
        </w:tc>
      </w:tr>
      <w:tr w:rsidR="009E7EB1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09/01/2018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Se actualiza el documento cambiando el logo de la entidad.</w:t>
            </w:r>
          </w:p>
        </w:tc>
      </w:tr>
      <w:tr w:rsidR="009E7EB1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02/01/2019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actualiza el documento modificando el ítem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5. De la capacitación del personal, </w:t>
            </w:r>
            <w:r>
              <w:rPr>
                <w:rFonts w:ascii="Arial" w:hAnsi="Arial" w:cs="Arial"/>
                <w:sz w:val="24"/>
                <w:szCs w:val="24"/>
              </w:rPr>
              <w:t xml:space="preserve">agregando 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SGD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como un tema para inducción del personal nuevo.</w:t>
            </w:r>
          </w:p>
          <w:p w:rsidR="009E7EB1" w:rsidRDefault="00BD22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actual</w:t>
            </w:r>
            <w:r>
              <w:rPr>
                <w:rFonts w:ascii="Arial" w:hAnsi="Arial" w:cs="Arial"/>
                <w:sz w:val="24"/>
                <w:szCs w:val="24"/>
              </w:rPr>
              <w:t xml:space="preserve">iza el documento, modificando el cargo que actualiza el Manual de Capacitaciones Internas, pasó de Directora de Gestión Administrativa (quien seguirá revisando el documento) a Auxiliar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SGC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SG-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SST</w:t>
            </w:r>
            <w:proofErr w:type="spellEnd"/>
          </w:p>
        </w:tc>
      </w:tr>
    </w:tbl>
    <w:p w:rsidR="009E7EB1" w:rsidRDefault="009E7EB1">
      <w:pPr>
        <w:jc w:val="both"/>
        <w:rPr>
          <w:rFonts w:ascii="Arial" w:hAnsi="Arial" w:cs="Arial"/>
          <w:sz w:val="24"/>
          <w:szCs w:val="24"/>
        </w:rPr>
      </w:pPr>
    </w:p>
    <w:p w:rsidR="009E7EB1" w:rsidRDefault="009E7EB1">
      <w:pPr>
        <w:jc w:val="both"/>
        <w:rPr>
          <w:rFonts w:ascii="Arial" w:hAnsi="Arial" w:cs="Arial"/>
          <w:sz w:val="24"/>
          <w:szCs w:val="24"/>
        </w:rPr>
      </w:pPr>
    </w:p>
    <w:p w:rsidR="009E7EB1" w:rsidRDefault="009E7EB1">
      <w:pPr>
        <w:jc w:val="both"/>
        <w:rPr>
          <w:rFonts w:ascii="Arial" w:hAnsi="Arial" w:cs="Arial"/>
          <w:sz w:val="24"/>
          <w:szCs w:val="24"/>
        </w:rPr>
      </w:pPr>
    </w:p>
    <w:p w:rsidR="009E7EB1" w:rsidRDefault="009E7EB1">
      <w:pPr>
        <w:jc w:val="both"/>
        <w:rPr>
          <w:rFonts w:ascii="Arial" w:hAnsi="Arial" w:cs="Arial"/>
          <w:sz w:val="24"/>
          <w:szCs w:val="24"/>
        </w:rPr>
      </w:pPr>
    </w:p>
    <w:p w:rsidR="009E7EB1" w:rsidRDefault="009E7EB1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465" w:tblpY="1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2629"/>
        <w:gridCol w:w="2926"/>
      </w:tblGrid>
      <w:tr w:rsidR="009E7EB1">
        <w:trPr>
          <w:cantSplit/>
          <w:trHeight w:val="249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Actualizó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:rsidR="009E7EB1" w:rsidRDefault="00BD2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11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257810</wp:posOffset>
                  </wp:positionV>
                  <wp:extent cx="1016000" cy="878205"/>
                  <wp:effectExtent l="0" t="0" r="0" b="0"/>
                  <wp:wrapNone/>
                  <wp:docPr id="1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  <w:tr w:rsidR="009E7EB1">
        <w:trPr>
          <w:cantSplit/>
          <w:trHeight w:val="778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drawing>
                <wp:anchor distT="0" distB="0" distL="0" distR="0" simplePos="0" relativeHeight="9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73025</wp:posOffset>
                  </wp:positionV>
                  <wp:extent cx="1991995" cy="592455"/>
                  <wp:effectExtent l="0" t="0" r="0" b="0"/>
                  <wp:wrapNone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E7EB1" w:rsidRDefault="009E7EB1">
            <w:pPr>
              <w:jc w:val="center"/>
              <w:rPr>
                <w:rFonts w:ascii="Arial" w:hAnsi="Arial" w:cs="Arial"/>
                <w:b/>
              </w:rPr>
            </w:pPr>
          </w:p>
          <w:p w:rsidR="009E7EB1" w:rsidRDefault="009E7E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7EB1" w:rsidRDefault="00BD2271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Auxiliar de SG-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SST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SGC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BD22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drawing>
                <wp:anchor distT="0" distB="0" distL="0" distR="0" simplePos="0" relativeHeight="1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129540</wp:posOffset>
                  </wp:positionV>
                  <wp:extent cx="1581785" cy="493395"/>
                  <wp:effectExtent l="0" t="0" r="0" b="0"/>
                  <wp:wrapNone/>
                  <wp:docPr id="3" name="Imag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E7EB1" w:rsidRDefault="009E7EB1">
            <w:pPr>
              <w:jc w:val="center"/>
              <w:rPr>
                <w:rFonts w:ascii="Arial" w:hAnsi="Arial" w:cs="Arial"/>
                <w:b/>
              </w:rPr>
            </w:pPr>
          </w:p>
          <w:p w:rsidR="009E7EB1" w:rsidRDefault="00BD22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Directora de Gestión Administrativa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EB1" w:rsidRDefault="009E7EB1">
            <w:pPr>
              <w:jc w:val="center"/>
              <w:rPr>
                <w:rFonts w:ascii="Arial" w:hAnsi="Arial" w:cs="Arial"/>
                <w:b/>
              </w:rPr>
            </w:pPr>
          </w:p>
          <w:p w:rsidR="009E7EB1" w:rsidRDefault="009E7EB1">
            <w:pPr>
              <w:jc w:val="center"/>
              <w:rPr>
                <w:rFonts w:ascii="Arial" w:hAnsi="Arial" w:cs="Arial"/>
                <w:b/>
              </w:rPr>
            </w:pPr>
          </w:p>
          <w:p w:rsidR="009E7EB1" w:rsidRDefault="00BD22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Presidente Ejecutivo</w:t>
            </w:r>
          </w:p>
        </w:tc>
      </w:tr>
    </w:tbl>
    <w:p w:rsidR="009E7EB1" w:rsidRDefault="009E7EB1">
      <w:pPr>
        <w:jc w:val="both"/>
      </w:pPr>
    </w:p>
    <w:sectPr w:rsidR="009E7E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701" w:bottom="1417" w:left="1701" w:header="51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271" w:rsidRDefault="00BD2271">
      <w:pPr>
        <w:spacing w:after="0" w:line="240" w:lineRule="auto"/>
      </w:pPr>
      <w:r>
        <w:separator/>
      </w:r>
    </w:p>
  </w:endnote>
  <w:endnote w:type="continuationSeparator" w:id="0">
    <w:p w:rsidR="00BD2271" w:rsidRDefault="00BD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E1" w:rsidRDefault="00CB4B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E1" w:rsidRDefault="00CB4BE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E1" w:rsidRDefault="00CB4B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271" w:rsidRDefault="00BD2271">
      <w:pPr>
        <w:spacing w:after="0" w:line="240" w:lineRule="auto"/>
      </w:pPr>
      <w:r>
        <w:separator/>
      </w:r>
    </w:p>
  </w:footnote>
  <w:footnote w:type="continuationSeparator" w:id="0">
    <w:p w:rsidR="00BD2271" w:rsidRDefault="00BD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E1" w:rsidRDefault="00CB4B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35" w:type="dxa"/>
      <w:tblInd w:w="-659" w:type="dxa"/>
      <w:tblLook w:val="01E0" w:firstRow="1" w:lastRow="1" w:firstColumn="1" w:lastColumn="1" w:noHBand="0" w:noVBand="0"/>
    </w:tblPr>
    <w:tblGrid>
      <w:gridCol w:w="1980"/>
      <w:gridCol w:w="3570"/>
      <w:gridCol w:w="1530"/>
      <w:gridCol w:w="1755"/>
    </w:tblGrid>
    <w:tr w:rsidR="009E7EB1">
      <w:trPr>
        <w:trHeight w:val="414"/>
      </w:trPr>
      <w:tc>
        <w:tcPr>
          <w:tcW w:w="19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9E7EB1" w:rsidRDefault="009E7EB1">
          <w:pPr>
            <w:jc w:val="center"/>
          </w:pPr>
        </w:p>
        <w:p w:rsidR="009E7EB1" w:rsidRDefault="00BD2271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085850" cy="781685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9E7EB1">
          <w:pPr>
            <w:jc w:val="center"/>
            <w:rPr>
              <w:rFonts w:ascii="Arial" w:hAnsi="Arial" w:cs="Arial"/>
              <w:b/>
              <w:sz w:val="28"/>
            </w:rPr>
          </w:pPr>
        </w:p>
        <w:p w:rsidR="009E7EB1" w:rsidRDefault="00CB4BE1">
          <w:pPr>
            <w:jc w:val="center"/>
            <w:rPr>
              <w:rFonts w:ascii="Arial" w:hAnsi="Arial" w:cs="Arial"/>
              <w:b/>
              <w:sz w:val="28"/>
            </w:rPr>
          </w:pPr>
          <w:bookmarkStart w:id="0" w:name="_GoBack"/>
          <w:r>
            <w:rPr>
              <w:rFonts w:ascii="Arial" w:hAnsi="Arial" w:cs="Arial"/>
              <w:b/>
              <w:sz w:val="28"/>
            </w:rPr>
            <w:t>Manual de Capacitaciones Internas</w:t>
          </w:r>
          <w:bookmarkEnd w:id="0"/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BD2271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CÓDIGO:</w:t>
          </w:r>
        </w:p>
      </w:tc>
      <w:tc>
        <w:tcPr>
          <w:tcW w:w="17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BD2271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:CCMDTH-6</w:t>
          </w:r>
        </w:p>
      </w:tc>
    </w:tr>
    <w:tr w:rsidR="009E7EB1">
      <w:trPr>
        <w:trHeight w:val="336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9E7EB1"/>
      </w:tc>
      <w:tc>
        <w:tcPr>
          <w:tcW w:w="35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9E7EB1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BD2271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</w:t>
          </w:r>
        </w:p>
      </w:tc>
      <w:tc>
        <w:tcPr>
          <w:tcW w:w="17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BD2271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:07</w:t>
          </w:r>
        </w:p>
      </w:tc>
    </w:tr>
    <w:tr w:rsidR="009E7EB1">
      <w:trPr>
        <w:trHeight w:val="17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9E7EB1"/>
      </w:tc>
      <w:tc>
        <w:tcPr>
          <w:tcW w:w="35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9E7EB1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BD2271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FECHA DE VIGENCIA:</w:t>
          </w:r>
        </w:p>
      </w:tc>
      <w:tc>
        <w:tcPr>
          <w:tcW w:w="17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BD2271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:02/01/2019</w:t>
          </w:r>
        </w:p>
      </w:tc>
    </w:tr>
    <w:tr w:rsidR="009E7EB1">
      <w:trPr>
        <w:trHeight w:val="11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9E7EB1"/>
      </w:tc>
      <w:tc>
        <w:tcPr>
          <w:tcW w:w="35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9E7EB1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328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E7EB1" w:rsidRDefault="009E7EB1">
          <w:pPr>
            <w:jc w:val="right"/>
            <w:rPr>
              <w:rFonts w:ascii="Arial" w:hAnsi="Arial" w:cs="Arial"/>
            </w:rPr>
          </w:pPr>
        </w:p>
      </w:tc>
    </w:tr>
  </w:tbl>
  <w:p w:rsidR="009E7EB1" w:rsidRDefault="009E7E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BE1" w:rsidRDefault="00CB4B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6443"/>
    <w:multiLevelType w:val="multilevel"/>
    <w:tmpl w:val="3CC80D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833BCC"/>
    <w:multiLevelType w:val="multilevel"/>
    <w:tmpl w:val="753E2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5C2A42"/>
    <w:multiLevelType w:val="multilevel"/>
    <w:tmpl w:val="9E9C3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B1"/>
    <w:rsid w:val="009E7EB1"/>
    <w:rsid w:val="00BD2271"/>
    <w:rsid w:val="00C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B2F85FBE-8ED6-464F-82E9-9FFB16AF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32"/>
    <w:pPr>
      <w:spacing w:after="200" w:line="276" w:lineRule="auto"/>
    </w:pPr>
    <w:rPr>
      <w:rFonts w:eastAsia="Times New Roman" w:cs="Times New Roman"/>
      <w:lang w:val="es-AR" w:eastAsia="es-AR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149BB"/>
    <w:pPr>
      <w:keepNext/>
      <w:spacing w:before="240" w:after="60" w:line="240" w:lineRule="auto"/>
      <w:outlineLvl w:val="3"/>
    </w:pPr>
    <w:rPr>
      <w:b/>
      <w:bCs/>
      <w:sz w:val="28"/>
      <w:szCs w:val="2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1013F"/>
    <w:rPr>
      <w:rFonts w:ascii="Calibri" w:eastAsia="Times New Roman" w:hAnsi="Calibri" w:cs="Times New Roman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1013F"/>
    <w:rPr>
      <w:rFonts w:ascii="Calibri" w:eastAsia="Times New Roman" w:hAnsi="Calibri" w:cs="Times New Roman"/>
      <w:lang w:val="es-AR" w:eastAsia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1013F"/>
    <w:rPr>
      <w:rFonts w:ascii="Tahoma" w:eastAsia="Times New Roman" w:hAnsi="Tahoma" w:cs="Tahoma"/>
      <w:sz w:val="16"/>
      <w:szCs w:val="16"/>
      <w:lang w:val="es-AR" w:eastAsia="es-AR"/>
    </w:rPr>
  </w:style>
  <w:style w:type="character" w:customStyle="1" w:styleId="EnlacedeInternet">
    <w:name w:val="Enlace de Internet"/>
    <w:basedOn w:val="Fuentedeprrafopredeter"/>
    <w:uiPriority w:val="99"/>
    <w:unhideWhenUsed/>
    <w:rsid w:val="002373D8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semiHidden/>
    <w:qFormat/>
    <w:rsid w:val="004149BB"/>
    <w:rPr>
      <w:rFonts w:ascii="Calibri" w:eastAsia="Times New Roman" w:hAnsi="Calibri" w:cs="Times New Roman"/>
      <w:b/>
      <w:bCs/>
      <w:sz w:val="28"/>
      <w:szCs w:val="28"/>
      <w:lang w:eastAsia="es-CO"/>
    </w:rPr>
  </w:style>
  <w:style w:type="character" w:customStyle="1" w:styleId="ListLabel1">
    <w:name w:val="ListLabel 1"/>
    <w:qFormat/>
    <w:rPr>
      <w:w w:val="114"/>
    </w:rPr>
  </w:style>
  <w:style w:type="character" w:customStyle="1" w:styleId="ListLabel2">
    <w:name w:val="ListLabel 2"/>
    <w:qFormat/>
    <w:rPr>
      <w:w w:val="114"/>
    </w:rPr>
  </w:style>
  <w:style w:type="character" w:customStyle="1" w:styleId="ListLabel3">
    <w:name w:val="ListLabel 3"/>
    <w:qFormat/>
    <w:rPr>
      <w:rFonts w:cs="Times New Roman"/>
      <w:b/>
      <w:color w:val="000000"/>
      <w:sz w:val="24"/>
    </w:rPr>
  </w:style>
  <w:style w:type="character" w:customStyle="1" w:styleId="ListLabel4">
    <w:name w:val="ListLabel 4"/>
    <w:qFormat/>
    <w:rPr>
      <w:rFonts w:cs="Times New Roman"/>
      <w:b/>
      <w:color w:val="000000"/>
      <w:sz w:val="24"/>
    </w:rPr>
  </w:style>
  <w:style w:type="character" w:customStyle="1" w:styleId="ListLabel5">
    <w:name w:val="ListLabel 5"/>
    <w:qFormat/>
    <w:rPr>
      <w:rFonts w:cs="Times New Roman"/>
      <w:b/>
      <w:color w:val="000000"/>
      <w:sz w:val="24"/>
    </w:rPr>
  </w:style>
  <w:style w:type="character" w:customStyle="1" w:styleId="ListLabel6">
    <w:name w:val="ListLabel 6"/>
    <w:qFormat/>
    <w:rPr>
      <w:rFonts w:cs="Times New Roman"/>
      <w:b/>
      <w:color w:val="000000"/>
      <w:sz w:val="24"/>
    </w:rPr>
  </w:style>
  <w:style w:type="character" w:customStyle="1" w:styleId="ListLabel7">
    <w:name w:val="ListLabel 7"/>
    <w:qFormat/>
    <w:rPr>
      <w:rFonts w:cs="Times New Roman"/>
      <w:b/>
      <w:color w:val="000000"/>
      <w:sz w:val="24"/>
    </w:rPr>
  </w:style>
  <w:style w:type="character" w:customStyle="1" w:styleId="ListLabel8">
    <w:name w:val="ListLabel 8"/>
    <w:qFormat/>
    <w:rPr>
      <w:rFonts w:cs="Times New Roman"/>
      <w:b/>
      <w:color w:val="000000"/>
      <w:sz w:val="24"/>
    </w:rPr>
  </w:style>
  <w:style w:type="character" w:customStyle="1" w:styleId="ListLabel9">
    <w:name w:val="ListLabel 9"/>
    <w:qFormat/>
    <w:rPr>
      <w:rFonts w:cs="Times New Roman"/>
      <w:b/>
      <w:color w:val="000000"/>
      <w:sz w:val="24"/>
    </w:rPr>
  </w:style>
  <w:style w:type="character" w:customStyle="1" w:styleId="ListLabel10">
    <w:name w:val="ListLabel 10"/>
    <w:qFormat/>
    <w:rPr>
      <w:rFonts w:cs="Times New Roman"/>
      <w:b/>
      <w:color w:val="000000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Arial" w:hAnsi="Arial" w:cs="Arial"/>
      <w:color w:val="auto"/>
      <w:sz w:val="24"/>
      <w:szCs w:val="2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B95F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013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013F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101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84B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Valores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s.wikipedia.org/wiki/Conocimiento" TargetMode="Externa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es.wikipedia.org/wiki/Palabr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Costumbr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1346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Cámara Comercio Magangué</dc:creator>
  <dc:description/>
  <cp:lastModifiedBy>Cámara de Comercio de Magangué</cp:lastModifiedBy>
  <cp:revision>2</cp:revision>
  <cp:lastPrinted>2013-06-29T15:35:00Z</cp:lastPrinted>
  <dcterms:created xsi:type="dcterms:W3CDTF">2019-08-14T15:41:00Z</dcterms:created>
  <dcterms:modified xsi:type="dcterms:W3CDTF">2019-08-14T15:41:00Z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